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F0A0" w14:textId="02A19E0F" w:rsidR="00F1658D" w:rsidRPr="00940AF2" w:rsidRDefault="00E72076" w:rsidP="00E72076">
      <w:pPr>
        <w:pStyle w:val="Heading1"/>
        <w:rPr>
          <w:b/>
          <w:bCs w:val="0"/>
          <w:color w:val="4472C4" w:themeColor="accent1"/>
          <w:u w:val="single"/>
        </w:rPr>
      </w:pPr>
      <w:r w:rsidRPr="00940AF2">
        <w:rPr>
          <w:b/>
          <w:bCs w:val="0"/>
          <w:color w:val="4472C4" w:themeColor="accent1"/>
          <w:u w:val="single"/>
        </w:rPr>
        <w:t>Supplemental Statements for Course Syllabus</w:t>
      </w:r>
      <w:r w:rsidR="00902962">
        <w:rPr>
          <w:b/>
          <w:bCs w:val="0"/>
          <w:color w:val="4472C4" w:themeColor="accent1"/>
          <w:u w:val="single"/>
        </w:rPr>
        <w:t xml:space="preserve"> – 2024-2025</w:t>
      </w:r>
    </w:p>
    <w:p w14:paraId="3ACBA990" w14:textId="3234CC8F" w:rsidR="00E72076" w:rsidRDefault="00E72076">
      <w:pPr>
        <w:rPr>
          <w:lang w:val="en-CA"/>
        </w:rPr>
      </w:pPr>
    </w:p>
    <w:p w14:paraId="2E985C39" w14:textId="17223930" w:rsidR="00E72076" w:rsidRDefault="00E72076">
      <w:pPr>
        <w:rPr>
          <w:lang w:val="en-CA"/>
        </w:rPr>
      </w:pPr>
      <w:r>
        <w:rPr>
          <w:lang w:val="en-CA"/>
        </w:rPr>
        <w:t>Below are a series of additional statements that may be relevant to some courses more than others. In cases where such statements add clarity to a student’s understanding of expectations and responsibilities, it is recommended to include them within the course syllabus.</w:t>
      </w:r>
    </w:p>
    <w:p w14:paraId="5D97F70A" w14:textId="77777777" w:rsidR="00705CCF" w:rsidRPr="003D1B0D" w:rsidRDefault="00705CCF" w:rsidP="00705CCF">
      <w:pPr>
        <w:pStyle w:val="Heading1"/>
        <w:rPr>
          <w:b/>
          <w:sz w:val="28"/>
          <w:szCs w:val="24"/>
          <w:u w:val="single"/>
        </w:rPr>
      </w:pPr>
      <w:r w:rsidRPr="003D1B0D">
        <w:rPr>
          <w:b/>
          <w:sz w:val="28"/>
          <w:szCs w:val="24"/>
          <w:u w:val="single"/>
        </w:rPr>
        <w:t>Pre-requisite Checking</w:t>
      </w:r>
    </w:p>
    <w:p w14:paraId="29ED27E1" w14:textId="77777777" w:rsidR="00705CCF" w:rsidRPr="00705CCF" w:rsidRDefault="00705CCF" w:rsidP="00705CCF">
      <w:pPr>
        <w:rPr>
          <w:rFonts w:ascii="Calibri" w:hAnsi="Calibri" w:cs="Calibri"/>
        </w:rPr>
      </w:pPr>
      <w:r w:rsidRPr="00705CCF">
        <w:rPr>
          <w:rFonts w:ascii="Calibri" w:hAnsi="Calibri" w:cs="Calibri"/>
        </w:rPr>
        <w:t xml:space="preserve">Unless you have either the requisites for this course or written special permission from your </w:t>
      </w:r>
      <w:proofErr w:type="gramStart"/>
      <w:r w:rsidRPr="00705CCF">
        <w:rPr>
          <w:rFonts w:ascii="Calibri" w:hAnsi="Calibri" w:cs="Calibri"/>
        </w:rPr>
        <w:t>Dean</w:t>
      </w:r>
      <w:proofErr w:type="gramEnd"/>
      <w:r w:rsidRPr="00705CCF">
        <w:rPr>
          <w:rFonts w:ascii="Calibri" w:hAnsi="Calibri" w:cs="Calibri"/>
        </w:rPr>
        <w:t xml:space="preserve"> to enroll in it, you may be removed from this course and it will be deleted from your record. This decision may not be appealed. You will receive no adjustment to your fees </w:t>
      </w:r>
      <w:proofErr w:type="gramStart"/>
      <w:r w:rsidRPr="00705CCF">
        <w:rPr>
          <w:rFonts w:ascii="Calibri" w:hAnsi="Calibri" w:cs="Calibri"/>
        </w:rPr>
        <w:t>in the event that</w:t>
      </w:r>
      <w:proofErr w:type="gramEnd"/>
      <w:r w:rsidRPr="00705CCF">
        <w:rPr>
          <w:rFonts w:ascii="Calibri" w:hAnsi="Calibri" w:cs="Calibri"/>
        </w:rPr>
        <w:t xml:space="preserve"> you are dropped from a course for failing to have the necessary prerequisites.</w:t>
      </w:r>
    </w:p>
    <w:p w14:paraId="0A1FB623" w14:textId="77777777" w:rsidR="00705CCF" w:rsidRPr="00705CCF" w:rsidRDefault="00705CCF" w:rsidP="00705CCF">
      <w:pPr>
        <w:rPr>
          <w:sz w:val="28"/>
          <w:szCs w:val="28"/>
        </w:rPr>
      </w:pPr>
    </w:p>
    <w:p w14:paraId="7D9B168E" w14:textId="07C5FF59" w:rsidR="00705CCF" w:rsidRDefault="00705CCF" w:rsidP="00705CCF">
      <w:r w:rsidRPr="00705CCF">
        <w:rPr>
          <w:rFonts w:ascii="Calibri" w:hAnsi="Calibri" w:cs="Calibri"/>
          <w:color w:val="000000" w:themeColor="text1"/>
        </w:rPr>
        <w:t xml:space="preserve">It is optional to list prerequisites and/or anti-requisites or you could refer the student to the current StFX Academic Calendar at </w:t>
      </w:r>
      <w:hyperlink r:id="rId7" w:history="1">
        <w:r w:rsidR="00D4753E" w:rsidRPr="00D4753E">
          <w:rPr>
            <w:color w:val="0000FF"/>
            <w:u w:val="single"/>
          </w:rPr>
          <w:t>Academic Calendars | St. Francis Xavier University (stfx.ca)</w:t>
        </w:r>
      </w:hyperlink>
    </w:p>
    <w:p w14:paraId="2BA60B11" w14:textId="77777777" w:rsidR="00116AD4" w:rsidRPr="00705CCF" w:rsidRDefault="00116AD4" w:rsidP="00705CCF">
      <w:pPr>
        <w:rPr>
          <w:rFonts w:ascii="Calibri" w:hAnsi="Calibri" w:cs="Calibri"/>
        </w:rPr>
      </w:pPr>
    </w:p>
    <w:p w14:paraId="0D2D4451" w14:textId="5160AD5C" w:rsidR="00A95526" w:rsidRPr="003D1B0D" w:rsidRDefault="00A95526" w:rsidP="00A95526">
      <w:pPr>
        <w:pStyle w:val="Heading1"/>
        <w:rPr>
          <w:b/>
          <w:sz w:val="28"/>
          <w:szCs w:val="24"/>
          <w:u w:val="single"/>
        </w:rPr>
      </w:pPr>
      <w:r w:rsidRPr="003D1B0D">
        <w:rPr>
          <w:b/>
          <w:sz w:val="28"/>
          <w:szCs w:val="24"/>
          <w:u w:val="single"/>
        </w:rPr>
        <w:t>Description of Competencies/Graduate Attributes</w:t>
      </w:r>
    </w:p>
    <w:p w14:paraId="1CA27DDE" w14:textId="6340D724" w:rsidR="00A95526" w:rsidRPr="009667BD" w:rsidRDefault="00A95526" w:rsidP="00A95526">
      <w:pPr>
        <w:pStyle w:val="ListBullet"/>
        <w:numPr>
          <w:ilvl w:val="0"/>
          <w:numId w:val="0"/>
        </w:numPr>
        <w:rPr>
          <w:color w:val="000000" w:themeColor="text1"/>
          <w:sz w:val="24"/>
          <w:szCs w:val="24"/>
        </w:rPr>
      </w:pPr>
      <w:r>
        <w:rPr>
          <w:color w:val="000000" w:themeColor="text1"/>
          <w:sz w:val="24"/>
          <w:szCs w:val="24"/>
        </w:rPr>
        <w:t>Some professional/accredited programs require that students be aware of expected competencies or graduate att</w:t>
      </w:r>
      <w:r w:rsidR="00116AD4">
        <w:rPr>
          <w:color w:val="000000" w:themeColor="text1"/>
          <w:sz w:val="24"/>
          <w:szCs w:val="24"/>
        </w:rPr>
        <w:t>ributes (e.g. Nursing, Engineering, Human Nutrition</w:t>
      </w:r>
      <w:r>
        <w:rPr>
          <w:color w:val="000000" w:themeColor="text1"/>
          <w:sz w:val="24"/>
          <w:szCs w:val="24"/>
        </w:rPr>
        <w:t xml:space="preserve">). Describing such expectations for students within a course syllabus is good pedagogical practice. Oftentimes, a list of competencies </w:t>
      </w:r>
      <w:r w:rsidR="008D38FF">
        <w:rPr>
          <w:color w:val="000000" w:themeColor="text1"/>
          <w:sz w:val="24"/>
          <w:szCs w:val="24"/>
        </w:rPr>
        <w:t>is</w:t>
      </w:r>
      <w:r>
        <w:rPr>
          <w:color w:val="000000" w:themeColor="text1"/>
          <w:sz w:val="24"/>
          <w:szCs w:val="24"/>
        </w:rPr>
        <w:t xml:space="preserve"> offered with check-boxed indication of which competencies/attributes the selected course will provide and how that fits within the entire program. </w:t>
      </w:r>
    </w:p>
    <w:p w14:paraId="21934BB7" w14:textId="142DC501" w:rsidR="009667BD" w:rsidRPr="003D1B0D" w:rsidRDefault="009667BD" w:rsidP="009667BD">
      <w:pPr>
        <w:pStyle w:val="Heading1"/>
        <w:rPr>
          <w:b/>
          <w:sz w:val="28"/>
          <w:szCs w:val="24"/>
          <w:u w:val="single"/>
        </w:rPr>
      </w:pPr>
      <w:r w:rsidRPr="003D1B0D">
        <w:rPr>
          <w:b/>
          <w:sz w:val="28"/>
          <w:szCs w:val="24"/>
          <w:u w:val="single"/>
        </w:rPr>
        <w:t>Laboratory or Tutorial Schedule (if applicable)</w:t>
      </w:r>
    </w:p>
    <w:p w14:paraId="2ACC6447" w14:textId="77777777" w:rsidR="009667BD" w:rsidRPr="00A95526" w:rsidRDefault="009667BD" w:rsidP="009667BD">
      <w:pPr>
        <w:pStyle w:val="BodyText"/>
        <w:spacing w:before="90" w:line="240" w:lineRule="auto"/>
        <w:ind w:right="116"/>
        <w:jc w:val="both"/>
        <w:rPr>
          <w:color w:val="000000" w:themeColor="text1"/>
          <w:sz w:val="24"/>
          <w:szCs w:val="24"/>
        </w:rPr>
      </w:pPr>
      <w:r w:rsidRPr="00A95526">
        <w:rPr>
          <w:color w:val="000000" w:themeColor="text1"/>
          <w:sz w:val="24"/>
          <w:szCs w:val="24"/>
        </w:rPr>
        <w:t xml:space="preserve">If the course has specific conditions associated with lab assessment, it must be provided in detail to the student. </w:t>
      </w:r>
    </w:p>
    <w:p w14:paraId="7E2FC57D" w14:textId="5EA4FBA4" w:rsidR="009667BD" w:rsidRPr="00A95526" w:rsidRDefault="009667BD" w:rsidP="009667BD">
      <w:pPr>
        <w:pStyle w:val="BodyText"/>
        <w:spacing w:before="90" w:line="240" w:lineRule="auto"/>
        <w:ind w:right="116"/>
        <w:jc w:val="both"/>
        <w:rPr>
          <w:color w:val="000000" w:themeColor="text1"/>
          <w:sz w:val="24"/>
          <w:szCs w:val="24"/>
        </w:rPr>
      </w:pPr>
      <w:r w:rsidRPr="00A95526">
        <w:rPr>
          <w:color w:val="000000" w:themeColor="text1"/>
          <w:sz w:val="24"/>
          <w:szCs w:val="24"/>
        </w:rPr>
        <w:t xml:space="preserve">For example: </w:t>
      </w:r>
      <w:proofErr w:type="gramStart"/>
      <w:r w:rsidRPr="00A95526">
        <w:rPr>
          <w:color w:val="000000" w:themeColor="text1"/>
          <w:sz w:val="24"/>
          <w:szCs w:val="24"/>
        </w:rPr>
        <w:t>In order</w:t>
      </w:r>
      <w:r w:rsidR="008D38FF">
        <w:rPr>
          <w:color w:val="000000" w:themeColor="text1"/>
          <w:sz w:val="24"/>
          <w:szCs w:val="24"/>
        </w:rPr>
        <w:t xml:space="preserve"> </w:t>
      </w:r>
      <w:r w:rsidRPr="00A95526">
        <w:rPr>
          <w:color w:val="000000" w:themeColor="text1"/>
          <w:sz w:val="24"/>
          <w:szCs w:val="24"/>
        </w:rPr>
        <w:t>to</w:t>
      </w:r>
      <w:proofErr w:type="gramEnd"/>
      <w:r w:rsidRPr="00A95526">
        <w:rPr>
          <w:color w:val="000000" w:themeColor="text1"/>
          <w:sz w:val="24"/>
          <w:szCs w:val="24"/>
        </w:rPr>
        <w:t xml:space="preserve"> pass the course, you must pass the course evaluations and the lab component separately. </w:t>
      </w:r>
      <w:r w:rsidR="0061621F">
        <w:rPr>
          <w:color w:val="000000" w:themeColor="text1"/>
          <w:sz w:val="24"/>
          <w:szCs w:val="24"/>
        </w:rPr>
        <w:t>For example, t</w:t>
      </w:r>
      <w:r w:rsidRPr="00A95526">
        <w:rPr>
          <w:color w:val="000000" w:themeColor="text1"/>
          <w:sz w:val="24"/>
          <w:szCs w:val="24"/>
        </w:rPr>
        <w:t xml:space="preserve">he passing grade for the lab component is </w:t>
      </w:r>
      <w:r w:rsidRPr="00A95526">
        <w:rPr>
          <w:b/>
          <w:color w:val="000000" w:themeColor="text1"/>
          <w:sz w:val="24"/>
          <w:szCs w:val="24"/>
          <w:u w:val="single"/>
        </w:rPr>
        <w:t>X%</w:t>
      </w:r>
      <w:r w:rsidR="0061621F" w:rsidRPr="0061621F">
        <w:rPr>
          <w:bCs/>
          <w:color w:val="000000" w:themeColor="text1"/>
          <w:sz w:val="24"/>
          <w:szCs w:val="24"/>
        </w:rPr>
        <w:t>, i</w:t>
      </w:r>
      <w:r w:rsidRPr="0061621F">
        <w:rPr>
          <w:bCs/>
          <w:color w:val="000000" w:themeColor="text1"/>
          <w:sz w:val="24"/>
          <w:szCs w:val="24"/>
        </w:rPr>
        <w:t xml:space="preserve">f </w:t>
      </w:r>
      <w:r w:rsidRPr="00A95526">
        <w:rPr>
          <w:color w:val="000000" w:themeColor="text1"/>
          <w:sz w:val="24"/>
          <w:szCs w:val="24"/>
        </w:rPr>
        <w:t xml:space="preserve">a student </w:t>
      </w:r>
      <w:r w:rsidRPr="00A95526">
        <w:rPr>
          <w:b/>
          <w:color w:val="000000" w:themeColor="text1"/>
          <w:sz w:val="24"/>
          <w:szCs w:val="24"/>
          <w:u w:val="single"/>
        </w:rPr>
        <w:t>fails to</w:t>
      </w:r>
      <w:r w:rsidRPr="00A95526">
        <w:rPr>
          <w:b/>
          <w:color w:val="000000" w:themeColor="text1"/>
          <w:sz w:val="24"/>
          <w:szCs w:val="24"/>
        </w:rPr>
        <w:t xml:space="preserve"> </w:t>
      </w:r>
      <w:r w:rsidRPr="00A95526">
        <w:rPr>
          <w:b/>
          <w:color w:val="000000" w:themeColor="text1"/>
          <w:sz w:val="24"/>
          <w:szCs w:val="24"/>
          <w:u w:val="single"/>
        </w:rPr>
        <w:t>complete</w:t>
      </w:r>
      <w:r w:rsidRPr="00A95526">
        <w:rPr>
          <w:b/>
          <w:color w:val="000000" w:themeColor="text1"/>
          <w:sz w:val="24"/>
          <w:szCs w:val="24"/>
        </w:rPr>
        <w:t xml:space="preserve"> </w:t>
      </w:r>
      <w:r w:rsidRPr="00A95526">
        <w:rPr>
          <w:color w:val="000000" w:themeColor="text1"/>
          <w:sz w:val="24"/>
          <w:szCs w:val="24"/>
        </w:rPr>
        <w:t xml:space="preserve">more than </w:t>
      </w:r>
      <w:r w:rsidRPr="00A95526">
        <w:rPr>
          <w:b/>
          <w:color w:val="000000" w:themeColor="text1"/>
          <w:sz w:val="24"/>
          <w:szCs w:val="24"/>
          <w:u w:val="single"/>
        </w:rPr>
        <w:t>3</w:t>
      </w:r>
      <w:r w:rsidRPr="00A95526">
        <w:rPr>
          <w:b/>
          <w:color w:val="000000" w:themeColor="text1"/>
          <w:sz w:val="24"/>
          <w:szCs w:val="24"/>
        </w:rPr>
        <w:t xml:space="preserve"> </w:t>
      </w:r>
      <w:r w:rsidRPr="00A95526">
        <w:rPr>
          <w:color w:val="000000" w:themeColor="text1"/>
          <w:sz w:val="24"/>
          <w:szCs w:val="24"/>
        </w:rPr>
        <w:t>labs, a failing grade will be assigned for the course</w:t>
      </w:r>
      <w:r w:rsidR="0061621F">
        <w:rPr>
          <w:color w:val="000000" w:themeColor="text1"/>
          <w:sz w:val="24"/>
          <w:szCs w:val="24"/>
        </w:rPr>
        <w:t>, etc</w:t>
      </w:r>
      <w:r w:rsidRPr="00A95526">
        <w:rPr>
          <w:color w:val="000000" w:themeColor="text1"/>
          <w:sz w:val="24"/>
          <w:szCs w:val="24"/>
        </w:rPr>
        <w:t xml:space="preserve">. A complete lab means carrying out the designated procedure and submitting a completed lab module for that procedure. Lab pre-labs and write-ups will account for </w:t>
      </w:r>
      <w:r w:rsidRPr="00A95526">
        <w:rPr>
          <w:b/>
          <w:color w:val="000000" w:themeColor="text1"/>
          <w:sz w:val="24"/>
          <w:szCs w:val="24"/>
        </w:rPr>
        <w:t>X%</w:t>
      </w:r>
      <w:r w:rsidRPr="00A95526">
        <w:rPr>
          <w:color w:val="000000" w:themeColor="text1"/>
          <w:sz w:val="24"/>
          <w:szCs w:val="24"/>
        </w:rPr>
        <w:t xml:space="preserve"> and a lab exam for the remaining </w:t>
      </w:r>
      <w:r w:rsidRPr="00A95526">
        <w:rPr>
          <w:b/>
          <w:color w:val="000000" w:themeColor="text1"/>
          <w:sz w:val="24"/>
          <w:szCs w:val="24"/>
        </w:rPr>
        <w:t>X%</w:t>
      </w:r>
      <w:r w:rsidRPr="00A95526">
        <w:rPr>
          <w:color w:val="000000" w:themeColor="text1"/>
          <w:sz w:val="24"/>
          <w:szCs w:val="24"/>
        </w:rPr>
        <w:t xml:space="preserve">. The lab exam will take place at </w:t>
      </w:r>
      <w:r w:rsidR="0061621F" w:rsidRPr="0061621F">
        <w:rPr>
          <w:b/>
          <w:bCs/>
          <w:color w:val="000000" w:themeColor="text1"/>
          <w:sz w:val="24"/>
          <w:szCs w:val="24"/>
          <w:u w:val="single"/>
        </w:rPr>
        <w:t>on this date at this time</w:t>
      </w:r>
      <w:r w:rsidRPr="00A95526">
        <w:rPr>
          <w:color w:val="000000" w:themeColor="text1"/>
          <w:sz w:val="24"/>
          <w:szCs w:val="24"/>
        </w:rPr>
        <w:t>.</w:t>
      </w:r>
    </w:p>
    <w:tbl>
      <w:tblPr>
        <w:tblStyle w:val="SyllabusTable"/>
        <w:tblW w:w="5075" w:type="pct"/>
        <w:tblLayout w:type="fixed"/>
        <w:tblLook w:val="0400" w:firstRow="0" w:lastRow="0" w:firstColumn="0" w:lastColumn="0" w:noHBand="0" w:noVBand="1"/>
        <w:tblDescription w:val="Course schedule information table"/>
      </w:tblPr>
      <w:tblGrid>
        <w:gridCol w:w="1564"/>
        <w:gridCol w:w="4075"/>
        <w:gridCol w:w="3861"/>
      </w:tblGrid>
      <w:tr w:rsidR="009667BD" w14:paraId="662E582D" w14:textId="77777777" w:rsidTr="009667BD">
        <w:sdt>
          <w:sdtPr>
            <w:rPr>
              <w:rFonts w:ascii="Calibri" w:hAnsi="Calibri" w:cs="Calibri"/>
            </w:rPr>
            <w:alias w:val="Enter week 1:"/>
            <w:tag w:val="Enter week 1:"/>
            <w:id w:val="2107763776"/>
            <w:placeholder>
              <w:docPart w:val="5F0C1DBB2CC64F488D0C1F1889EB68CC"/>
            </w:placeholder>
            <w:temporary/>
            <w:showingPlcHdr/>
            <w15:appearance w15:val="hidden"/>
          </w:sdtPr>
          <w:sdtEndPr/>
          <w:sdtContent>
            <w:tc>
              <w:tcPr>
                <w:tcW w:w="1564" w:type="dxa"/>
              </w:tcPr>
              <w:p w14:paraId="09B85A7A" w14:textId="77777777" w:rsidR="009667BD" w:rsidRPr="00DE179F" w:rsidRDefault="009667BD" w:rsidP="005C55B9">
                <w:pPr>
                  <w:rPr>
                    <w:rFonts w:ascii="Calibri" w:hAnsi="Calibri" w:cs="Calibri"/>
                  </w:rPr>
                </w:pPr>
                <w:r w:rsidRPr="00DE179F">
                  <w:rPr>
                    <w:rFonts w:ascii="Calibri" w:hAnsi="Calibri" w:cs="Calibri"/>
                  </w:rPr>
                  <w:t>Week 1</w:t>
                </w:r>
              </w:p>
            </w:tc>
          </w:sdtContent>
        </w:sdt>
        <w:tc>
          <w:tcPr>
            <w:tcW w:w="4075" w:type="dxa"/>
          </w:tcPr>
          <w:p w14:paraId="0073BCC9"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731E22EA" w14:textId="77777777" w:rsidR="009667BD" w:rsidRDefault="009667BD" w:rsidP="005C55B9"/>
        </w:tc>
      </w:tr>
      <w:tr w:rsidR="009667BD" w14:paraId="36BB6F90" w14:textId="77777777" w:rsidTr="009667BD">
        <w:sdt>
          <w:sdtPr>
            <w:rPr>
              <w:rFonts w:ascii="Calibri" w:hAnsi="Calibri" w:cs="Calibri"/>
            </w:rPr>
            <w:alias w:val="Enter week 2:"/>
            <w:tag w:val="Enter week 2:"/>
            <w:id w:val="-821652529"/>
            <w:placeholder>
              <w:docPart w:val="9FE2BD36AE792A42A3EB02A7851C9D83"/>
            </w:placeholder>
            <w:temporary/>
            <w:showingPlcHdr/>
            <w15:appearance w15:val="hidden"/>
          </w:sdtPr>
          <w:sdtEndPr/>
          <w:sdtContent>
            <w:tc>
              <w:tcPr>
                <w:tcW w:w="1564" w:type="dxa"/>
              </w:tcPr>
              <w:p w14:paraId="1AF9B4C1" w14:textId="77777777" w:rsidR="009667BD" w:rsidRPr="00DE179F" w:rsidRDefault="009667BD" w:rsidP="005C55B9">
                <w:pPr>
                  <w:rPr>
                    <w:rFonts w:ascii="Calibri" w:hAnsi="Calibri" w:cs="Calibri"/>
                  </w:rPr>
                </w:pPr>
                <w:r w:rsidRPr="00DE179F">
                  <w:rPr>
                    <w:rFonts w:ascii="Calibri" w:hAnsi="Calibri" w:cs="Calibri"/>
                  </w:rPr>
                  <w:t>Week 2</w:t>
                </w:r>
              </w:p>
            </w:tc>
          </w:sdtContent>
        </w:sdt>
        <w:tc>
          <w:tcPr>
            <w:tcW w:w="4075" w:type="dxa"/>
          </w:tcPr>
          <w:p w14:paraId="789813FF"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7D440D34" w14:textId="77777777" w:rsidR="009667BD" w:rsidRDefault="009667BD" w:rsidP="005C55B9"/>
        </w:tc>
      </w:tr>
      <w:tr w:rsidR="009667BD" w14:paraId="7BB69B63" w14:textId="77777777" w:rsidTr="009667BD">
        <w:sdt>
          <w:sdtPr>
            <w:rPr>
              <w:rFonts w:ascii="Calibri" w:hAnsi="Calibri" w:cs="Calibri"/>
            </w:rPr>
            <w:alias w:val="Enter week 3:"/>
            <w:tag w:val="Enter week 3:"/>
            <w:id w:val="-580141356"/>
            <w:placeholder>
              <w:docPart w:val="BB00EB0578FC8046A6BD5DB7A5F06898"/>
            </w:placeholder>
            <w:temporary/>
            <w:showingPlcHdr/>
            <w15:appearance w15:val="hidden"/>
          </w:sdtPr>
          <w:sdtEndPr/>
          <w:sdtContent>
            <w:tc>
              <w:tcPr>
                <w:tcW w:w="1564" w:type="dxa"/>
              </w:tcPr>
              <w:p w14:paraId="4FB3C1E6" w14:textId="77777777" w:rsidR="009667BD" w:rsidRPr="00DE179F" w:rsidRDefault="009667BD" w:rsidP="005C55B9">
                <w:pPr>
                  <w:rPr>
                    <w:rFonts w:ascii="Calibri" w:hAnsi="Calibri" w:cs="Calibri"/>
                  </w:rPr>
                </w:pPr>
                <w:r w:rsidRPr="00DE179F">
                  <w:rPr>
                    <w:rFonts w:ascii="Calibri" w:hAnsi="Calibri" w:cs="Calibri"/>
                  </w:rPr>
                  <w:t>Week 3</w:t>
                </w:r>
              </w:p>
            </w:tc>
          </w:sdtContent>
        </w:sdt>
        <w:tc>
          <w:tcPr>
            <w:tcW w:w="4075" w:type="dxa"/>
          </w:tcPr>
          <w:p w14:paraId="3E22858C"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4D6A2267" w14:textId="77777777" w:rsidR="009667BD" w:rsidRDefault="009667BD" w:rsidP="005C55B9"/>
        </w:tc>
      </w:tr>
      <w:tr w:rsidR="009667BD" w14:paraId="0BAD39BB" w14:textId="77777777" w:rsidTr="009667BD">
        <w:sdt>
          <w:sdtPr>
            <w:rPr>
              <w:rFonts w:ascii="Calibri" w:hAnsi="Calibri" w:cs="Calibri"/>
            </w:rPr>
            <w:alias w:val="Enter week 4:"/>
            <w:tag w:val="Enter week 4:"/>
            <w:id w:val="530148982"/>
            <w:placeholder>
              <w:docPart w:val="EF0685C3176B05488AC0B5A2E02F5B9C"/>
            </w:placeholder>
            <w:temporary/>
            <w:showingPlcHdr/>
            <w15:appearance w15:val="hidden"/>
          </w:sdtPr>
          <w:sdtEndPr/>
          <w:sdtContent>
            <w:tc>
              <w:tcPr>
                <w:tcW w:w="1564" w:type="dxa"/>
              </w:tcPr>
              <w:p w14:paraId="27741A3B" w14:textId="77777777" w:rsidR="009667BD" w:rsidRPr="00DE179F" w:rsidRDefault="009667BD" w:rsidP="005C55B9">
                <w:pPr>
                  <w:rPr>
                    <w:rFonts w:ascii="Calibri" w:hAnsi="Calibri" w:cs="Calibri"/>
                  </w:rPr>
                </w:pPr>
                <w:r w:rsidRPr="00DE179F">
                  <w:rPr>
                    <w:rFonts w:ascii="Calibri" w:hAnsi="Calibri" w:cs="Calibri"/>
                  </w:rPr>
                  <w:t>Week 4</w:t>
                </w:r>
              </w:p>
            </w:tc>
          </w:sdtContent>
        </w:sdt>
        <w:tc>
          <w:tcPr>
            <w:tcW w:w="4075" w:type="dxa"/>
          </w:tcPr>
          <w:p w14:paraId="2C1F0740"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3D65F678" w14:textId="77777777" w:rsidR="009667BD" w:rsidRDefault="009667BD" w:rsidP="005C55B9"/>
        </w:tc>
      </w:tr>
      <w:tr w:rsidR="009667BD" w14:paraId="1293A051" w14:textId="77777777" w:rsidTr="009667BD">
        <w:tc>
          <w:tcPr>
            <w:tcW w:w="1564" w:type="dxa"/>
          </w:tcPr>
          <w:p w14:paraId="0F8C7023" w14:textId="77777777" w:rsidR="009667BD" w:rsidRPr="00DE179F" w:rsidRDefault="009667BD" w:rsidP="005C55B9">
            <w:pPr>
              <w:rPr>
                <w:rFonts w:ascii="Calibri" w:hAnsi="Calibri" w:cs="Calibri"/>
              </w:rPr>
            </w:pPr>
            <w:r w:rsidRPr="00DE179F">
              <w:rPr>
                <w:rFonts w:ascii="Calibri" w:hAnsi="Calibri" w:cs="Calibri"/>
              </w:rPr>
              <w:t>Week 5</w:t>
            </w:r>
          </w:p>
        </w:tc>
        <w:tc>
          <w:tcPr>
            <w:tcW w:w="4075" w:type="dxa"/>
          </w:tcPr>
          <w:p w14:paraId="19B6A0D8"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0E4545CE" w14:textId="77777777" w:rsidR="009667BD" w:rsidRDefault="009667BD" w:rsidP="005C55B9"/>
        </w:tc>
      </w:tr>
      <w:tr w:rsidR="009667BD" w14:paraId="3A702C40" w14:textId="77777777" w:rsidTr="009667BD">
        <w:tc>
          <w:tcPr>
            <w:tcW w:w="1564" w:type="dxa"/>
          </w:tcPr>
          <w:p w14:paraId="447A0AE8" w14:textId="77777777" w:rsidR="009667BD" w:rsidRPr="00DE179F" w:rsidRDefault="009667BD" w:rsidP="005C55B9">
            <w:pPr>
              <w:rPr>
                <w:rFonts w:ascii="Calibri" w:hAnsi="Calibri" w:cs="Calibri"/>
              </w:rPr>
            </w:pPr>
            <w:r w:rsidRPr="00DE179F">
              <w:rPr>
                <w:rFonts w:ascii="Calibri" w:hAnsi="Calibri" w:cs="Calibri"/>
              </w:rPr>
              <w:t>Week 6</w:t>
            </w:r>
          </w:p>
        </w:tc>
        <w:tc>
          <w:tcPr>
            <w:tcW w:w="4075" w:type="dxa"/>
          </w:tcPr>
          <w:p w14:paraId="19014B10"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61A9640D" w14:textId="77777777" w:rsidR="009667BD" w:rsidRDefault="009667BD" w:rsidP="005C55B9"/>
        </w:tc>
      </w:tr>
      <w:tr w:rsidR="009667BD" w14:paraId="56FEF1B1" w14:textId="77777777" w:rsidTr="009667BD">
        <w:tc>
          <w:tcPr>
            <w:tcW w:w="1564" w:type="dxa"/>
          </w:tcPr>
          <w:p w14:paraId="7C5E71CE" w14:textId="77777777" w:rsidR="009667BD" w:rsidRPr="00DE179F" w:rsidRDefault="009667BD" w:rsidP="005C55B9">
            <w:pPr>
              <w:rPr>
                <w:rFonts w:ascii="Calibri" w:hAnsi="Calibri" w:cs="Calibri"/>
              </w:rPr>
            </w:pPr>
            <w:r w:rsidRPr="00DE179F">
              <w:rPr>
                <w:rFonts w:ascii="Calibri" w:hAnsi="Calibri" w:cs="Calibri"/>
              </w:rPr>
              <w:lastRenderedPageBreak/>
              <w:t>Week 7</w:t>
            </w:r>
          </w:p>
        </w:tc>
        <w:tc>
          <w:tcPr>
            <w:tcW w:w="4075" w:type="dxa"/>
          </w:tcPr>
          <w:p w14:paraId="4E40F4E1"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2CFF3E1F" w14:textId="77777777" w:rsidR="009667BD" w:rsidRDefault="009667BD" w:rsidP="005C55B9"/>
        </w:tc>
      </w:tr>
      <w:tr w:rsidR="009667BD" w14:paraId="2D1B0A5B" w14:textId="77777777" w:rsidTr="009667BD">
        <w:tc>
          <w:tcPr>
            <w:tcW w:w="1564" w:type="dxa"/>
          </w:tcPr>
          <w:p w14:paraId="0D8B099E" w14:textId="77777777" w:rsidR="009667BD" w:rsidRPr="00DE179F" w:rsidRDefault="009667BD" w:rsidP="005C55B9">
            <w:pPr>
              <w:rPr>
                <w:rFonts w:ascii="Calibri" w:hAnsi="Calibri" w:cs="Calibri"/>
              </w:rPr>
            </w:pPr>
            <w:r w:rsidRPr="00DE179F">
              <w:rPr>
                <w:rFonts w:ascii="Calibri" w:hAnsi="Calibri" w:cs="Calibri"/>
              </w:rPr>
              <w:t>Week 8</w:t>
            </w:r>
          </w:p>
        </w:tc>
        <w:tc>
          <w:tcPr>
            <w:tcW w:w="4075" w:type="dxa"/>
          </w:tcPr>
          <w:p w14:paraId="29FC9E9C"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5B5D8097" w14:textId="77777777" w:rsidR="009667BD" w:rsidRDefault="009667BD" w:rsidP="005C55B9"/>
        </w:tc>
      </w:tr>
      <w:tr w:rsidR="009667BD" w14:paraId="16C8779B" w14:textId="77777777" w:rsidTr="009667BD">
        <w:tc>
          <w:tcPr>
            <w:tcW w:w="1564" w:type="dxa"/>
          </w:tcPr>
          <w:p w14:paraId="01691550" w14:textId="77777777" w:rsidR="009667BD" w:rsidRPr="00DE179F" w:rsidRDefault="009667BD" w:rsidP="005C55B9">
            <w:pPr>
              <w:rPr>
                <w:rFonts w:ascii="Calibri" w:hAnsi="Calibri" w:cs="Calibri"/>
              </w:rPr>
            </w:pPr>
            <w:r w:rsidRPr="00DE179F">
              <w:rPr>
                <w:rFonts w:ascii="Calibri" w:hAnsi="Calibri" w:cs="Calibri"/>
              </w:rPr>
              <w:t>Week 9</w:t>
            </w:r>
          </w:p>
        </w:tc>
        <w:tc>
          <w:tcPr>
            <w:tcW w:w="4075" w:type="dxa"/>
          </w:tcPr>
          <w:p w14:paraId="37633FC8"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7592AB74" w14:textId="77777777" w:rsidR="009667BD" w:rsidRDefault="009667BD" w:rsidP="005C55B9"/>
        </w:tc>
      </w:tr>
      <w:tr w:rsidR="009667BD" w14:paraId="22AF41DA" w14:textId="77777777" w:rsidTr="009667BD">
        <w:tc>
          <w:tcPr>
            <w:tcW w:w="1564" w:type="dxa"/>
          </w:tcPr>
          <w:p w14:paraId="23A12F88" w14:textId="77777777" w:rsidR="009667BD" w:rsidRPr="00DE179F" w:rsidRDefault="009667BD" w:rsidP="005C55B9">
            <w:pPr>
              <w:rPr>
                <w:rFonts w:ascii="Calibri" w:hAnsi="Calibri" w:cs="Calibri"/>
              </w:rPr>
            </w:pPr>
            <w:r w:rsidRPr="00DE179F">
              <w:rPr>
                <w:rFonts w:ascii="Calibri" w:hAnsi="Calibri" w:cs="Calibri"/>
              </w:rPr>
              <w:t>Week 10</w:t>
            </w:r>
          </w:p>
        </w:tc>
        <w:tc>
          <w:tcPr>
            <w:tcW w:w="4075" w:type="dxa"/>
          </w:tcPr>
          <w:p w14:paraId="79A92D0D"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6A3231D9" w14:textId="77777777" w:rsidR="009667BD" w:rsidRDefault="009667BD" w:rsidP="005C55B9"/>
        </w:tc>
      </w:tr>
      <w:tr w:rsidR="009667BD" w14:paraId="01622F59" w14:textId="77777777" w:rsidTr="009667BD">
        <w:tc>
          <w:tcPr>
            <w:tcW w:w="1564" w:type="dxa"/>
          </w:tcPr>
          <w:p w14:paraId="387E10E0" w14:textId="77777777" w:rsidR="009667BD" w:rsidRPr="00DE179F" w:rsidRDefault="009667BD" w:rsidP="005C55B9">
            <w:pPr>
              <w:rPr>
                <w:rFonts w:ascii="Calibri" w:hAnsi="Calibri" w:cs="Calibri"/>
              </w:rPr>
            </w:pPr>
            <w:r w:rsidRPr="00DE179F">
              <w:rPr>
                <w:rFonts w:ascii="Calibri" w:hAnsi="Calibri" w:cs="Calibri"/>
              </w:rPr>
              <w:t>Week 11</w:t>
            </w:r>
          </w:p>
        </w:tc>
        <w:tc>
          <w:tcPr>
            <w:tcW w:w="4075" w:type="dxa"/>
          </w:tcPr>
          <w:p w14:paraId="575A428E"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3CB831FB" w14:textId="77777777" w:rsidR="009667BD" w:rsidRDefault="009667BD" w:rsidP="005C55B9"/>
        </w:tc>
      </w:tr>
      <w:tr w:rsidR="009667BD" w14:paraId="3AFD4BF1" w14:textId="77777777" w:rsidTr="009667BD">
        <w:tc>
          <w:tcPr>
            <w:tcW w:w="1564" w:type="dxa"/>
          </w:tcPr>
          <w:p w14:paraId="2EBF0F8C" w14:textId="77777777" w:rsidR="009667BD" w:rsidRPr="00DE179F" w:rsidRDefault="009667BD" w:rsidP="005C55B9">
            <w:pPr>
              <w:rPr>
                <w:rFonts w:ascii="Calibri" w:hAnsi="Calibri" w:cs="Calibri"/>
              </w:rPr>
            </w:pPr>
            <w:r w:rsidRPr="00DE179F">
              <w:rPr>
                <w:rFonts w:ascii="Calibri" w:hAnsi="Calibri" w:cs="Calibri"/>
              </w:rPr>
              <w:t>Week 12</w:t>
            </w:r>
          </w:p>
        </w:tc>
        <w:tc>
          <w:tcPr>
            <w:tcW w:w="4075" w:type="dxa"/>
          </w:tcPr>
          <w:p w14:paraId="72C439C3" w14:textId="77777777" w:rsidR="009667BD" w:rsidRPr="00DE179F" w:rsidRDefault="009667BD" w:rsidP="005C55B9">
            <w:pPr>
              <w:rPr>
                <w:rFonts w:ascii="Calibri" w:hAnsi="Calibri" w:cs="Calibri"/>
              </w:rPr>
            </w:pPr>
            <w:r w:rsidRPr="00DE179F">
              <w:rPr>
                <w:rFonts w:ascii="Calibri" w:hAnsi="Calibri" w:cs="Calibri"/>
              </w:rPr>
              <w:t>Enter Topic</w:t>
            </w:r>
          </w:p>
        </w:tc>
        <w:tc>
          <w:tcPr>
            <w:tcW w:w="3861" w:type="dxa"/>
          </w:tcPr>
          <w:p w14:paraId="6CE8D341" w14:textId="77777777" w:rsidR="009667BD" w:rsidRDefault="009667BD" w:rsidP="005C55B9"/>
        </w:tc>
      </w:tr>
    </w:tbl>
    <w:p w14:paraId="490BD8EC" w14:textId="77777777" w:rsidR="009667BD" w:rsidRPr="00496518" w:rsidRDefault="009667BD" w:rsidP="009667BD"/>
    <w:p w14:paraId="58FA5EEF" w14:textId="77777777" w:rsidR="009948D8" w:rsidRPr="003D1B0D" w:rsidRDefault="009948D8" w:rsidP="009948D8">
      <w:pPr>
        <w:rPr>
          <w:rFonts w:asciiTheme="majorHAnsi" w:eastAsiaTheme="majorEastAsia" w:hAnsiTheme="majorHAnsi" w:cstheme="majorBidi"/>
          <w:b/>
          <w:bCs/>
          <w:color w:val="44546A" w:themeColor="text2"/>
          <w:spacing w:val="20"/>
          <w:sz w:val="28"/>
          <w:u w:val="single"/>
        </w:rPr>
      </w:pPr>
      <w:r w:rsidRPr="003D1B0D">
        <w:rPr>
          <w:rFonts w:asciiTheme="majorHAnsi" w:eastAsiaTheme="majorEastAsia" w:hAnsiTheme="majorHAnsi" w:cstheme="majorBidi"/>
          <w:b/>
          <w:bCs/>
          <w:color w:val="44546A" w:themeColor="text2"/>
          <w:spacing w:val="20"/>
          <w:sz w:val="28"/>
          <w:u w:val="single"/>
        </w:rPr>
        <w:t>Statement on Preferred Pronouns</w:t>
      </w:r>
    </w:p>
    <w:p w14:paraId="1818D323" w14:textId="7A98C236" w:rsidR="009948D8" w:rsidRDefault="009948D8" w:rsidP="009948D8">
      <w:r w:rsidRPr="009948D8">
        <w:rPr>
          <w:rFonts w:ascii="Calibri" w:hAnsi="Calibri" w:cs="Calibri"/>
          <w:lang w:val="en-CA"/>
        </w:rPr>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I will gladly honor your request to address you by an alternate name or gender pronoun. Please advise me of this preference early in the semester so that I may make appropriate changes to my records. See policies at </w:t>
      </w:r>
      <w:hyperlink r:id="rId8" w:history="1">
        <w:r w:rsidR="00D4753E" w:rsidRPr="00D4753E">
          <w:rPr>
            <w:color w:val="0000FF"/>
            <w:u w:val="single"/>
          </w:rPr>
          <w:t>Policies | St. Fran</w:t>
        </w:r>
        <w:r w:rsidR="00D4753E" w:rsidRPr="00D4753E">
          <w:rPr>
            <w:color w:val="0000FF"/>
            <w:u w:val="single"/>
          </w:rPr>
          <w:t>c</w:t>
        </w:r>
        <w:r w:rsidR="00D4753E" w:rsidRPr="00D4753E">
          <w:rPr>
            <w:color w:val="0000FF"/>
            <w:u w:val="single"/>
          </w:rPr>
          <w:t>is Xavier University (stfx.ca)</w:t>
        </w:r>
      </w:hyperlink>
    </w:p>
    <w:p w14:paraId="04465A75" w14:textId="77777777" w:rsidR="00116AD4" w:rsidRPr="009948D8" w:rsidRDefault="00116AD4" w:rsidP="009948D8">
      <w:pPr>
        <w:rPr>
          <w:rFonts w:ascii="Calibri" w:hAnsi="Calibri" w:cs="Calibri"/>
          <w:lang w:val="en-CA"/>
        </w:rPr>
      </w:pPr>
    </w:p>
    <w:p w14:paraId="0E76D070" w14:textId="4139F6EE" w:rsidR="00E72076" w:rsidRPr="003D1B0D" w:rsidRDefault="00E72076" w:rsidP="00E72076">
      <w:pPr>
        <w:pStyle w:val="Heading1"/>
        <w:rPr>
          <w:b/>
          <w:sz w:val="28"/>
          <w:szCs w:val="24"/>
          <w:u w:val="single"/>
        </w:rPr>
      </w:pPr>
      <w:r w:rsidRPr="003D1B0D">
        <w:rPr>
          <w:b/>
          <w:sz w:val="28"/>
          <w:szCs w:val="24"/>
          <w:u w:val="single"/>
        </w:rPr>
        <w:t>Statement on Electronic Devices</w:t>
      </w:r>
    </w:p>
    <w:p w14:paraId="7F2708CA" w14:textId="2F62D4A0" w:rsidR="00E72076" w:rsidRDefault="00E72076" w:rsidP="00E72076">
      <w:pPr>
        <w:rPr>
          <w:rFonts w:ascii="Calibri" w:hAnsi="Calibri" w:cs="Calibri"/>
        </w:rPr>
      </w:pPr>
      <w:r w:rsidRPr="00E72076">
        <w:rPr>
          <w:rFonts w:ascii="Calibri" w:hAnsi="Calibri" w:cs="Calibri"/>
          <w:b/>
          <w:bCs/>
          <w:u w:val="single"/>
        </w:rPr>
        <w:t>During Exams:</w:t>
      </w:r>
      <w:r w:rsidRPr="00E72076">
        <w:rPr>
          <w:rFonts w:ascii="Calibri" w:hAnsi="Calibri" w:cs="Calibri"/>
        </w:rPr>
        <w:t xml:space="preserve"> Unless you have medical accommodations that require you to do so, or explicit permission from the instructor of the course, you may not use any of the following electronic devices during ANY of the tests, midterms, examinations, or other in-class evaluations: cellphones, smart phones, smart watches, smart glasses, audio players or recorders of any sort, video cameras, video games, DVD players, televisions, laptop/notebook/netbook computers, flashlights or laser pointers.</w:t>
      </w:r>
    </w:p>
    <w:p w14:paraId="7D83BF29" w14:textId="42497B36" w:rsidR="009948D8" w:rsidRDefault="009948D8" w:rsidP="00E72076">
      <w:pPr>
        <w:rPr>
          <w:rFonts w:ascii="Calibri" w:hAnsi="Calibri" w:cs="Calibri"/>
        </w:rPr>
      </w:pPr>
    </w:p>
    <w:p w14:paraId="026D7ED9" w14:textId="3E2B9EEA" w:rsidR="00E72076" w:rsidRPr="00E72076" w:rsidRDefault="00E72076" w:rsidP="00E72076">
      <w:pPr>
        <w:rPr>
          <w:rFonts w:ascii="Calibri" w:hAnsi="Calibri" w:cs="Calibri"/>
        </w:rPr>
      </w:pPr>
      <w:r w:rsidRPr="00E72076">
        <w:rPr>
          <w:rFonts w:ascii="Calibri" w:hAnsi="Calibri" w:cs="Calibri"/>
          <w:b/>
          <w:bCs/>
          <w:u w:val="single"/>
        </w:rPr>
        <w:t>During Lectures and Tutorials:</w:t>
      </w:r>
      <w:r w:rsidRPr="00E72076">
        <w:rPr>
          <w:rFonts w:ascii="Calibri" w:hAnsi="Calibri" w:cs="Calibri"/>
        </w:rPr>
        <w:t xml:space="preserve"> </w:t>
      </w:r>
      <w:r>
        <w:rPr>
          <w:rFonts w:ascii="Calibri" w:hAnsi="Calibri" w:cs="Calibri"/>
        </w:rPr>
        <w:t xml:space="preserve">Course instructors may permit the </w:t>
      </w:r>
      <w:r w:rsidRPr="00E72076">
        <w:rPr>
          <w:rFonts w:ascii="Calibri" w:hAnsi="Calibri" w:cs="Calibri"/>
        </w:rPr>
        <w:t>use a computer during lecture and tutorial periods</w:t>
      </w:r>
      <w:r>
        <w:rPr>
          <w:rFonts w:ascii="Calibri" w:hAnsi="Calibri" w:cs="Calibri"/>
        </w:rPr>
        <w:t>. If so,</w:t>
      </w:r>
      <w:r w:rsidRPr="00E72076">
        <w:rPr>
          <w:rFonts w:ascii="Calibri" w:hAnsi="Calibri" w:cs="Calibri"/>
        </w:rPr>
        <w:t xml:space="preserve"> you are expected to use the computer for scholastic purposes only, and refrain from engaging in any activities that may distract other students from learning. From time to time, your professor may ask the class to turn off all computers, to facilitate learning or discussion of the material presented in a particular class. </w:t>
      </w:r>
      <w:r w:rsidRPr="00E72076">
        <w:rPr>
          <w:rFonts w:ascii="Calibri" w:hAnsi="Calibri" w:cs="Calibri"/>
          <w:i/>
          <w:iCs/>
          <w:u w:val="single"/>
        </w:rPr>
        <w:t>Unless explicitly noted otherwise, you may not make audio or video recordings of lectures – nor may you edit, re-use, distribute, or re-broadcast any of the material posted to the course website.</w:t>
      </w:r>
    </w:p>
    <w:p w14:paraId="3DA80F2B" w14:textId="77777777" w:rsidR="00E72076" w:rsidRPr="003D1B0D" w:rsidRDefault="00E72076" w:rsidP="00E72076">
      <w:pPr>
        <w:pStyle w:val="Heading1"/>
        <w:rPr>
          <w:b/>
          <w:sz w:val="28"/>
          <w:szCs w:val="24"/>
          <w:u w:val="single"/>
        </w:rPr>
      </w:pPr>
      <w:r w:rsidRPr="003D1B0D">
        <w:rPr>
          <w:b/>
          <w:sz w:val="28"/>
          <w:szCs w:val="24"/>
          <w:u w:val="single"/>
        </w:rPr>
        <w:t>Statement on use of Personal Response Systems (‘clickers’)</w:t>
      </w:r>
    </w:p>
    <w:p w14:paraId="735AB146" w14:textId="53EC66EA" w:rsidR="00E72076" w:rsidRDefault="00E72076" w:rsidP="00E72076">
      <w:pPr>
        <w:pStyle w:val="Default"/>
        <w:rPr>
          <w:rFonts w:ascii="Calibri" w:hAnsi="Calibri" w:cs="Calibri"/>
          <w:color w:val="000000" w:themeColor="text1"/>
        </w:rPr>
      </w:pPr>
      <w:r w:rsidRPr="00E72076">
        <w:rPr>
          <w:rFonts w:ascii="Calibri" w:hAnsi="Calibri" w:cs="Calibri"/>
          <w:color w:val="000000" w:themeColor="text1"/>
        </w:rPr>
        <w:t>If Personal Response Systems (“Clickers”) are used in the course, instructors are to communicate clearly to students information on how clickers are used including: how the student’s privacy will be protected, how clickers may be used by the instructor for data gathering and for evaluating the student, and why they cannot be used by anyone but the student (since the students involved in misuse of a clicker may be charged with a scholastic offence).</w:t>
      </w:r>
    </w:p>
    <w:p w14:paraId="2F3511B9" w14:textId="31EBBE13" w:rsidR="00DA1866" w:rsidRDefault="00DA1866" w:rsidP="00E72076">
      <w:pPr>
        <w:pStyle w:val="Default"/>
        <w:rPr>
          <w:rFonts w:ascii="Calibri" w:hAnsi="Calibri" w:cs="Calibri"/>
          <w:color w:val="000000" w:themeColor="text1"/>
        </w:rPr>
      </w:pPr>
    </w:p>
    <w:p w14:paraId="3BE7A02A" w14:textId="3FF84D1D" w:rsidR="000A1A43" w:rsidRDefault="000A1A43" w:rsidP="00E72076">
      <w:pPr>
        <w:pStyle w:val="Default"/>
        <w:rPr>
          <w:rFonts w:ascii="Calibri" w:hAnsi="Calibri" w:cs="Calibri"/>
          <w:color w:val="000000" w:themeColor="text1"/>
        </w:rPr>
      </w:pPr>
    </w:p>
    <w:p w14:paraId="33B333EB" w14:textId="77777777" w:rsidR="000A1A43" w:rsidRPr="00E72076" w:rsidRDefault="000A1A43" w:rsidP="00E72076">
      <w:pPr>
        <w:pStyle w:val="Default"/>
        <w:rPr>
          <w:rFonts w:ascii="Calibri" w:hAnsi="Calibri" w:cs="Calibri"/>
          <w:color w:val="000000" w:themeColor="text1"/>
        </w:rPr>
      </w:pPr>
    </w:p>
    <w:p w14:paraId="794FB44D" w14:textId="77777777" w:rsidR="00E72076" w:rsidRPr="003D1B0D" w:rsidRDefault="00E72076" w:rsidP="00E72076">
      <w:pPr>
        <w:pStyle w:val="Heading1"/>
        <w:rPr>
          <w:b/>
          <w:u w:val="single"/>
        </w:rPr>
      </w:pPr>
      <w:r w:rsidRPr="003D1B0D">
        <w:rPr>
          <w:b/>
          <w:sz w:val="28"/>
          <w:szCs w:val="24"/>
          <w:u w:val="single"/>
        </w:rPr>
        <w:lastRenderedPageBreak/>
        <w:t>Copyright</w:t>
      </w:r>
    </w:p>
    <w:p w14:paraId="01C4E124" w14:textId="6096FCC0" w:rsidR="00E72076" w:rsidRPr="00116AD4" w:rsidRDefault="00E72076" w:rsidP="00E72076">
      <w:pPr>
        <w:rPr>
          <w:rFonts w:ascii="Calibri" w:hAnsi="Calibri" w:cs="Calibri"/>
          <w:sz w:val="22"/>
          <w:szCs w:val="22"/>
        </w:rPr>
      </w:pPr>
      <w:r w:rsidRPr="00E72076">
        <w:rPr>
          <w:rFonts w:ascii="Calibri" w:hAnsi="Calibri" w:cs="Calibri"/>
          <w:sz w:val="22"/>
          <w:szCs w:val="22"/>
        </w:rPr>
        <w:t xml:space="preserve">The materials in course </w:t>
      </w:r>
      <w:r w:rsidRPr="00E72076">
        <w:rPr>
          <w:rFonts w:ascii="Calibri" w:hAnsi="Calibri" w:cs="Calibri"/>
          <w:sz w:val="22"/>
          <w:szCs w:val="22"/>
          <w:u w:val="single"/>
        </w:rPr>
        <w:t xml:space="preserve">XXX </w:t>
      </w:r>
      <w:r w:rsidRPr="00E72076">
        <w:rPr>
          <w:rFonts w:ascii="Calibri" w:hAnsi="Calibri" w:cs="Calibri"/>
          <w:sz w:val="22"/>
          <w:szCs w:val="22"/>
        </w:rPr>
        <w:t>at StFX are the property of the instructor, unless stated otherwise by the instructor. Online posting or selling this material to third parties for distribution without permission is subject to Canadian Copyright law and is strictly prohibited. </w:t>
      </w:r>
      <w:r w:rsidRPr="00E72076">
        <w:rPr>
          <w:rFonts w:ascii="Calibri" w:hAnsi="Calibri" w:cs="Calibri"/>
          <w:color w:val="44546A"/>
          <w:sz w:val="22"/>
          <w:szCs w:val="22"/>
        </w:rPr>
        <w:t>P</w:t>
      </w:r>
      <w:r w:rsidRPr="00E72076">
        <w:rPr>
          <w:rFonts w:ascii="Calibri" w:hAnsi="Calibri" w:cs="Calibri"/>
          <w:sz w:val="22"/>
          <w:szCs w:val="22"/>
        </w:rPr>
        <w:t xml:space="preserve">lease visit the StFX copyright guide for more information: </w:t>
      </w:r>
      <w:r w:rsidRPr="00E72076">
        <w:rPr>
          <w:rFonts w:ascii="Calibri" w:hAnsi="Calibri" w:cs="Calibri"/>
          <w:color w:val="0000FF"/>
          <w:sz w:val="22"/>
          <w:szCs w:val="22"/>
        </w:rPr>
        <w:t> </w:t>
      </w:r>
      <w:hyperlink r:id="rId9" w:history="1">
        <w:r w:rsidR="002313FC" w:rsidRPr="002313FC">
          <w:rPr>
            <w:color w:val="0000FF"/>
            <w:u w:val="single"/>
          </w:rPr>
          <w:t xml:space="preserve">Home - Copyright - </w:t>
        </w:r>
        <w:proofErr w:type="spellStart"/>
        <w:r w:rsidR="002313FC" w:rsidRPr="002313FC">
          <w:rPr>
            <w:color w:val="0000FF"/>
            <w:u w:val="single"/>
          </w:rPr>
          <w:t>LibGuides</w:t>
        </w:r>
        <w:proofErr w:type="spellEnd"/>
        <w:r w:rsidR="002313FC" w:rsidRPr="002313FC">
          <w:rPr>
            <w:color w:val="0000FF"/>
            <w:u w:val="single"/>
          </w:rPr>
          <w:t xml:space="preserve"> at St. Fra</w:t>
        </w:r>
        <w:r w:rsidR="002313FC" w:rsidRPr="002313FC">
          <w:rPr>
            <w:color w:val="0000FF"/>
            <w:u w:val="single"/>
          </w:rPr>
          <w:t>n</w:t>
        </w:r>
        <w:r w:rsidR="002313FC" w:rsidRPr="002313FC">
          <w:rPr>
            <w:color w:val="0000FF"/>
            <w:u w:val="single"/>
          </w:rPr>
          <w:t>cis Xavier University</w:t>
        </w:r>
      </w:hyperlink>
    </w:p>
    <w:p w14:paraId="5498082A" w14:textId="5930693B" w:rsidR="00E72076" w:rsidRPr="003D1B0D" w:rsidRDefault="00E72076" w:rsidP="00E72076">
      <w:pPr>
        <w:pStyle w:val="Heading1"/>
        <w:rPr>
          <w:b/>
          <w:sz w:val="28"/>
          <w:u w:val="single"/>
        </w:rPr>
      </w:pPr>
      <w:r w:rsidRPr="003D1B0D">
        <w:rPr>
          <w:b/>
          <w:sz w:val="28"/>
          <w:u w:val="single"/>
        </w:rPr>
        <w:t>Policy on Academic Integrity</w:t>
      </w:r>
    </w:p>
    <w:p w14:paraId="69A4BD72" w14:textId="77777777" w:rsidR="00116AD4" w:rsidRDefault="00E72076" w:rsidP="00E72076">
      <w:pPr>
        <w:rPr>
          <w:rFonts w:ascii="Calibri" w:hAnsi="Calibri" w:cs="Calibri"/>
        </w:rPr>
      </w:pPr>
      <w:r w:rsidRPr="00E72076">
        <w:rPr>
          <w:rFonts w:ascii="Calibri" w:hAnsi="Calibri" w:cs="Calibri"/>
        </w:rPr>
        <w:t xml:space="preserve">Please ensure that you are aware of the policy on Academic Integrity. Details can be found at: </w:t>
      </w:r>
    </w:p>
    <w:p w14:paraId="5635972F" w14:textId="38DB1C77" w:rsidR="00F1658D" w:rsidRDefault="008D38FF" w:rsidP="0061621F">
      <w:pPr>
        <w:rPr>
          <w:rFonts w:ascii="Calibri" w:hAnsi="Calibri"/>
          <w:color w:val="000000"/>
        </w:rPr>
      </w:pPr>
      <w:hyperlink r:id="rId10" w:history="1">
        <w:r w:rsidR="00F1658D" w:rsidRPr="00F1658D">
          <w:rPr>
            <w:color w:val="0000FF"/>
            <w:u w:val="single"/>
          </w:rPr>
          <w:t>Academic Integrity | St. Francis Xavier University (stfx.ca)</w:t>
        </w:r>
      </w:hyperlink>
    </w:p>
    <w:p w14:paraId="7C4BA3E9" w14:textId="0E510B92" w:rsidR="0061621F" w:rsidRDefault="0061621F" w:rsidP="0061621F">
      <w:pPr>
        <w:rPr>
          <w:rFonts w:ascii="Calibri" w:hAnsi="Calibri"/>
          <w:color w:val="000000"/>
        </w:rPr>
      </w:pPr>
      <w:r>
        <w:rPr>
          <w:rFonts w:ascii="Calibri" w:hAnsi="Calibri"/>
          <w:color w:val="000000"/>
        </w:rPr>
        <w:t xml:space="preserve">A short, interesting and easy “book” to review basics of academic integrity for students is available here for instructors: </w:t>
      </w:r>
      <w:hyperlink r:id="rId11" w:tooltip="https://pressbooks.bccampus.ca/encourageacademicintegrity/" w:history="1">
        <w:r>
          <w:rPr>
            <w:rStyle w:val="Hyperlink"/>
            <w:rFonts w:ascii="Calibri" w:hAnsi="Calibri"/>
            <w:color w:val="0563C1"/>
          </w:rPr>
          <w:t>https://pressbooks.bcc</w:t>
        </w:r>
        <w:r>
          <w:rPr>
            <w:rStyle w:val="Hyperlink"/>
            <w:rFonts w:ascii="Calibri" w:hAnsi="Calibri"/>
            <w:color w:val="0563C1"/>
          </w:rPr>
          <w:t>a</w:t>
        </w:r>
        <w:r>
          <w:rPr>
            <w:rStyle w:val="Hyperlink"/>
            <w:rFonts w:ascii="Calibri" w:hAnsi="Calibri"/>
            <w:color w:val="0563C1"/>
          </w:rPr>
          <w:t>mpus.ca/encourageacademicintegrity/</w:t>
        </w:r>
      </w:hyperlink>
    </w:p>
    <w:p w14:paraId="6D0244A3" w14:textId="77777777" w:rsidR="00E72076" w:rsidRPr="003D1B0D" w:rsidRDefault="00E72076" w:rsidP="00E72076">
      <w:pPr>
        <w:pStyle w:val="Heading1"/>
        <w:rPr>
          <w:b/>
          <w:sz w:val="28"/>
          <w:u w:val="single"/>
        </w:rPr>
      </w:pPr>
      <w:r w:rsidRPr="003D1B0D">
        <w:rPr>
          <w:b/>
          <w:sz w:val="28"/>
          <w:u w:val="single"/>
        </w:rPr>
        <w:t xml:space="preserve">Statement on Equitable Learning </w:t>
      </w:r>
    </w:p>
    <w:p w14:paraId="0B100120" w14:textId="54892613" w:rsidR="00E72076" w:rsidRDefault="00E72076" w:rsidP="00E72076">
      <w:pPr>
        <w:rPr>
          <w:rFonts w:ascii="Calibri" w:hAnsi="Calibri" w:cs="Calibri"/>
        </w:rPr>
      </w:pPr>
      <w:r w:rsidRPr="00E72076">
        <w:rPr>
          <w:rFonts w:ascii="Calibri" w:hAnsi="Calibri" w:cs="Calibri"/>
        </w:rPr>
        <w:t xml:space="preserve">Everyone learns more effectively in a respectful, safe and equitable learning environment, free from discrimination and harassment. Instructors and students are invited to work together to create a classroom space – both real and virtual – that fosters and promotes values of human dignity, equity, non-discrimination, and respect for diversity. Please feel free to talk with your course instructor about your questions or concerns about equity in our classroom or in the StFX community in general. Should students have additional questions, they are encouraged to talk to the Chair/Coordinator of the Department/Program or the Human Rights and Equity Advisor, contact information can be found at </w:t>
      </w:r>
      <w:hyperlink r:id="rId12" w:history="1">
        <w:r w:rsidR="00280A59" w:rsidRPr="00280A59">
          <w:rPr>
            <w:color w:val="0000FF"/>
            <w:u w:val="single"/>
          </w:rPr>
          <w:t>Directory | St. Francis Xavier Uni</w:t>
        </w:r>
        <w:r w:rsidR="00280A59" w:rsidRPr="00280A59">
          <w:rPr>
            <w:color w:val="0000FF"/>
            <w:u w:val="single"/>
          </w:rPr>
          <w:t>v</w:t>
        </w:r>
        <w:r w:rsidR="00280A59" w:rsidRPr="00280A59">
          <w:rPr>
            <w:color w:val="0000FF"/>
            <w:u w:val="single"/>
          </w:rPr>
          <w:t>ersity (stfx.ca)</w:t>
        </w:r>
      </w:hyperlink>
    </w:p>
    <w:p w14:paraId="0007EF49" w14:textId="0B68B72A" w:rsidR="00E72076" w:rsidRDefault="00E72076" w:rsidP="00E72076"/>
    <w:p w14:paraId="4B478ABE" w14:textId="77777777" w:rsidR="009948D8" w:rsidRDefault="009948D8" w:rsidP="00E72076"/>
    <w:p w14:paraId="680719A7" w14:textId="77777777" w:rsidR="00E72076" w:rsidRPr="003D1B0D" w:rsidRDefault="00E72076" w:rsidP="00E72076">
      <w:pPr>
        <w:rPr>
          <w:rFonts w:asciiTheme="majorHAnsi" w:hAnsiTheme="majorHAnsi" w:cs="Calibri"/>
          <w:b/>
          <w:color w:val="44546A" w:themeColor="text2"/>
          <w:sz w:val="28"/>
          <w:szCs w:val="28"/>
          <w:u w:val="single"/>
          <w:shd w:val="clear" w:color="auto" w:fill="FFFFFF"/>
        </w:rPr>
      </w:pPr>
      <w:r w:rsidRPr="003D1B0D">
        <w:rPr>
          <w:rFonts w:asciiTheme="majorHAnsi" w:hAnsiTheme="majorHAnsi" w:cs="Calibri"/>
          <w:b/>
          <w:color w:val="44546A" w:themeColor="text2"/>
          <w:sz w:val="28"/>
          <w:szCs w:val="28"/>
          <w:u w:val="single"/>
          <w:shd w:val="clear" w:color="auto" w:fill="FFFFFF"/>
        </w:rPr>
        <w:t>Information about requesting an Accommodation at StFX</w:t>
      </w:r>
    </w:p>
    <w:p w14:paraId="736FFCD9" w14:textId="143BC1F5" w:rsidR="00E72076" w:rsidRPr="00E72076" w:rsidRDefault="00E72076" w:rsidP="00E72076">
      <w:pPr>
        <w:rPr>
          <w:rFonts w:ascii="Calibri" w:hAnsi="Calibri" w:cs="Calibri"/>
          <w:color w:val="262626"/>
          <w:shd w:val="clear" w:color="auto" w:fill="FFFFFF"/>
        </w:rPr>
      </w:pPr>
      <w:r w:rsidRPr="00E72076">
        <w:rPr>
          <w:rFonts w:ascii="Calibri" w:hAnsi="Calibri" w:cs="Calibri"/>
          <w:color w:val="262626"/>
          <w:shd w:val="clear" w:color="auto" w:fill="FFFFFF"/>
        </w:rPr>
        <w:t xml:space="preserve">If you have a </w:t>
      </w:r>
      <w:r w:rsidR="009948D8">
        <w:rPr>
          <w:rFonts w:ascii="Calibri" w:hAnsi="Calibri" w:cs="Calibri"/>
          <w:color w:val="262626"/>
          <w:shd w:val="clear" w:color="auto" w:fill="FFFFFF"/>
        </w:rPr>
        <w:t xml:space="preserve">different learning ability </w:t>
      </w:r>
      <w:r w:rsidRPr="00E72076">
        <w:rPr>
          <w:rFonts w:ascii="Calibri" w:hAnsi="Calibri" w:cs="Calibri"/>
          <w:color w:val="262626"/>
          <w:shd w:val="clear" w:color="auto" w:fill="FFFFFF"/>
        </w:rPr>
        <w:t xml:space="preserve">and would like to request accommodations, please contact the instructor during the first week of the semester so that your accommodations may be provided in a timely manner. Centre for Accessible Learning (CAL) </w:t>
      </w:r>
      <w:proofErr w:type="gramStart"/>
      <w:r w:rsidRPr="00E72076">
        <w:rPr>
          <w:rFonts w:ascii="Calibri" w:hAnsi="Calibri" w:cs="Calibri"/>
          <w:color w:val="262626"/>
          <w:shd w:val="clear" w:color="auto" w:fill="FFFFFF"/>
        </w:rPr>
        <w:t>provides assistance</w:t>
      </w:r>
      <w:proofErr w:type="gramEnd"/>
      <w:r w:rsidRPr="00E72076">
        <w:rPr>
          <w:rFonts w:ascii="Calibri" w:hAnsi="Calibri" w:cs="Calibri"/>
          <w:color w:val="262626"/>
          <w:shd w:val="clear" w:color="auto" w:fill="FFFFFF"/>
        </w:rPr>
        <w:t xml:space="preserve"> in determining and facilitating appropriate accommodations for students with verified disabilities.</w:t>
      </w:r>
    </w:p>
    <w:p w14:paraId="2A44013A" w14:textId="3CE617E9" w:rsidR="00E72076" w:rsidRDefault="00E72076" w:rsidP="00E72076">
      <w:pPr>
        <w:rPr>
          <w:rFonts w:ascii="Calibri" w:hAnsi="Calibri" w:cs="Calibri"/>
          <w:color w:val="262626"/>
          <w:shd w:val="clear" w:color="auto" w:fill="FFFFFF"/>
        </w:rPr>
      </w:pPr>
    </w:p>
    <w:p w14:paraId="62302A0C" w14:textId="77777777" w:rsidR="00370B66" w:rsidRDefault="00370B66" w:rsidP="00E72076">
      <w:pPr>
        <w:rPr>
          <w:rFonts w:ascii="Calibri" w:hAnsi="Calibri" w:cs="Calibri"/>
          <w:color w:val="262626"/>
          <w:shd w:val="clear" w:color="auto" w:fill="FFFFFF"/>
        </w:rPr>
      </w:pPr>
    </w:p>
    <w:p w14:paraId="0DEFD33C" w14:textId="4BD0D699" w:rsidR="00E72076" w:rsidRPr="003D1B0D" w:rsidRDefault="00E72076" w:rsidP="00E72076">
      <w:pPr>
        <w:rPr>
          <w:rFonts w:asciiTheme="majorHAnsi" w:hAnsiTheme="majorHAnsi" w:cs="Calibri"/>
          <w:b/>
          <w:color w:val="44546A" w:themeColor="text2"/>
          <w:sz w:val="28"/>
          <w:szCs w:val="28"/>
          <w:u w:val="single"/>
          <w:shd w:val="clear" w:color="auto" w:fill="FFFFFF"/>
        </w:rPr>
      </w:pPr>
      <w:r w:rsidRPr="003D1B0D">
        <w:rPr>
          <w:rFonts w:asciiTheme="majorHAnsi" w:hAnsiTheme="majorHAnsi" w:cs="Calibri"/>
          <w:b/>
          <w:color w:val="44546A" w:themeColor="text2"/>
          <w:sz w:val="28"/>
          <w:szCs w:val="28"/>
          <w:u w:val="single"/>
          <w:shd w:val="clear" w:color="auto" w:fill="FFFFFF"/>
        </w:rPr>
        <w:t>Tramble center for Accessible Learning</w:t>
      </w:r>
    </w:p>
    <w:p w14:paraId="6416CE38" w14:textId="2D760C88" w:rsidR="00370B66" w:rsidRDefault="00E72076" w:rsidP="00E72076">
      <w:pPr>
        <w:rPr>
          <w:rFonts w:ascii="Calibri" w:hAnsi="Calibri" w:cs="Calibri"/>
          <w:color w:val="262626"/>
          <w:shd w:val="clear" w:color="auto" w:fill="FFFFFF"/>
        </w:rPr>
      </w:pPr>
      <w:r w:rsidRPr="00E72076">
        <w:rPr>
          <w:rFonts w:ascii="Calibri" w:hAnsi="Calibri" w:cs="Calibri"/>
          <w:color w:val="262626"/>
          <w:shd w:val="clear" w:color="auto" w:fill="FFFFFF"/>
        </w:rPr>
        <w:t xml:space="preserve">The Tramble Center for Accessible Learning welcomes students with documented permanent disabilities and offers them a student-centered program of support. Located in Room 108 of the Angus L MacDonald Library, new and returning students meet with program staff to discuss options for support. Deadline for registering with the Center is two weeks prior to the end of classes each semester and 3 Business Days’ notice is required for booking all accommodated tests and exams. To book an appointment please use the following link: </w:t>
      </w:r>
    </w:p>
    <w:p w14:paraId="24CB772E" w14:textId="6AA0AB3A" w:rsidR="00280A59" w:rsidRDefault="008D38FF" w:rsidP="00E72076">
      <w:pPr>
        <w:rPr>
          <w:rFonts w:ascii="Calibri" w:hAnsi="Calibri" w:cs="Calibri"/>
          <w:color w:val="262626"/>
          <w:shd w:val="clear" w:color="auto" w:fill="FFFFFF"/>
        </w:rPr>
      </w:pPr>
      <w:hyperlink r:id="rId13" w:history="1">
        <w:r w:rsidR="00280A59" w:rsidRPr="00280A59">
          <w:rPr>
            <w:color w:val="0000FF"/>
            <w:u w:val="single"/>
          </w:rPr>
          <w:t>Accessible Learning | St. Francis Xavier U</w:t>
        </w:r>
        <w:r w:rsidR="00280A59" w:rsidRPr="00280A59">
          <w:rPr>
            <w:color w:val="0000FF"/>
            <w:u w:val="single"/>
          </w:rPr>
          <w:t>n</w:t>
        </w:r>
        <w:r w:rsidR="00280A59" w:rsidRPr="00280A59">
          <w:rPr>
            <w:color w:val="0000FF"/>
            <w:u w:val="single"/>
          </w:rPr>
          <w:t>iversity (stfx.ca)</w:t>
        </w:r>
      </w:hyperlink>
    </w:p>
    <w:p w14:paraId="0BCF5331" w14:textId="30D5AD5B" w:rsidR="00E72076" w:rsidRPr="00E72076" w:rsidRDefault="00E72076" w:rsidP="00E72076">
      <w:pPr>
        <w:rPr>
          <w:rFonts w:ascii="Calibri" w:hAnsi="Calibri" w:cs="Calibri"/>
          <w:color w:val="262626"/>
          <w:shd w:val="clear" w:color="auto" w:fill="FFFFFF"/>
        </w:rPr>
      </w:pPr>
      <w:r w:rsidRPr="00E72076">
        <w:rPr>
          <w:rFonts w:ascii="Calibri" w:hAnsi="Calibri" w:cs="Calibri"/>
          <w:color w:val="262626"/>
          <w:shd w:val="clear" w:color="auto" w:fill="FFFFFF"/>
        </w:rPr>
        <w:t>Phone 902.867.5349</w:t>
      </w:r>
      <w:r w:rsidR="00940AF2">
        <w:rPr>
          <w:rFonts w:ascii="Calibri" w:hAnsi="Calibri" w:cs="Calibri"/>
          <w:color w:val="262626"/>
          <w:shd w:val="clear" w:color="auto" w:fill="FFFFFF"/>
        </w:rPr>
        <w:t xml:space="preserve">    </w:t>
      </w:r>
      <w:r w:rsidRPr="00E72076">
        <w:rPr>
          <w:rFonts w:ascii="Calibri" w:hAnsi="Calibri" w:cs="Calibri"/>
          <w:color w:val="262626"/>
          <w:shd w:val="clear" w:color="auto" w:fill="FFFFFF"/>
        </w:rPr>
        <w:t xml:space="preserve">Email: </w:t>
      </w:r>
      <w:hyperlink r:id="rId14" w:tgtFrame="_blank" w:history="1">
        <w:r w:rsidRPr="00E72076">
          <w:rPr>
            <w:rFonts w:ascii="Calibri" w:hAnsi="Calibri" w:cs="Calibri"/>
            <w:color w:val="2075A3"/>
            <w:u w:val="single"/>
            <w:shd w:val="clear" w:color="auto" w:fill="EBFBFF"/>
          </w:rPr>
          <w:t>tramble@stfx.ca</w:t>
        </w:r>
      </w:hyperlink>
      <w:r w:rsidRPr="00E72076">
        <w:rPr>
          <w:rFonts w:ascii="Calibri" w:hAnsi="Calibri" w:cs="Calibri"/>
          <w:color w:val="262626"/>
          <w:shd w:val="clear" w:color="auto" w:fill="FFFFFF"/>
        </w:rPr>
        <w:t xml:space="preserve"> </w:t>
      </w:r>
    </w:p>
    <w:p w14:paraId="2BB73114" w14:textId="184761B5" w:rsidR="00E72076" w:rsidRDefault="00E72076" w:rsidP="00E72076"/>
    <w:p w14:paraId="057C25AA" w14:textId="06BD941F" w:rsidR="00803241" w:rsidRDefault="00803241" w:rsidP="00E72076"/>
    <w:p w14:paraId="20C727D8" w14:textId="77777777" w:rsidR="00F1658D" w:rsidRDefault="00F1658D" w:rsidP="00E72076"/>
    <w:p w14:paraId="0AF6824B" w14:textId="77777777" w:rsidR="00F1658D" w:rsidRDefault="00F1658D" w:rsidP="00E72076"/>
    <w:p w14:paraId="31E826EE" w14:textId="322A3EBF" w:rsidR="00803241" w:rsidRDefault="00803241" w:rsidP="00E72076"/>
    <w:p w14:paraId="19B5E767" w14:textId="727B0EDD" w:rsidR="00803241" w:rsidRDefault="00803241" w:rsidP="00E72076"/>
    <w:p w14:paraId="75F63A2E" w14:textId="77777777" w:rsidR="00803241" w:rsidRDefault="00803241" w:rsidP="00E72076"/>
    <w:p w14:paraId="42CDA099" w14:textId="6596DE21" w:rsidR="00E72076" w:rsidRDefault="00E72076" w:rsidP="00E72076"/>
    <w:p w14:paraId="2DE2A189" w14:textId="77777777" w:rsidR="00E72076" w:rsidRPr="003D1B0D" w:rsidRDefault="00E72076" w:rsidP="00E72076">
      <w:pPr>
        <w:rPr>
          <w:rFonts w:asciiTheme="majorHAnsi" w:hAnsiTheme="majorHAnsi"/>
          <w:b/>
          <w:color w:val="44546A" w:themeColor="text2"/>
          <w:sz w:val="28"/>
          <w:szCs w:val="28"/>
          <w:u w:val="single"/>
        </w:rPr>
      </w:pPr>
      <w:r w:rsidRPr="003D1B0D">
        <w:rPr>
          <w:rFonts w:asciiTheme="majorHAnsi" w:hAnsiTheme="majorHAnsi"/>
          <w:b/>
          <w:color w:val="44546A" w:themeColor="text2"/>
          <w:sz w:val="28"/>
          <w:szCs w:val="28"/>
          <w:u w:val="single"/>
        </w:rPr>
        <w:lastRenderedPageBreak/>
        <w:t>Support Services</w:t>
      </w:r>
    </w:p>
    <w:p w14:paraId="6A5BD35E" w14:textId="77777777" w:rsidR="00E72076" w:rsidRPr="00E72076" w:rsidRDefault="00E72076" w:rsidP="00E72076">
      <w:pPr>
        <w:rPr>
          <w:rFonts w:ascii="Calibri" w:hAnsi="Calibri" w:cs="Calibri"/>
        </w:rPr>
      </w:pPr>
      <w:r w:rsidRPr="00E72076">
        <w:rPr>
          <w:rFonts w:ascii="Calibri" w:hAnsi="Calibri" w:cs="Calibri"/>
        </w:rPr>
        <w:t xml:space="preserve">There are various support services around </w:t>
      </w:r>
      <w:proofErr w:type="gramStart"/>
      <w:r w:rsidRPr="00E72076">
        <w:rPr>
          <w:rFonts w:ascii="Calibri" w:hAnsi="Calibri" w:cs="Calibri"/>
        </w:rPr>
        <w:t>campus</w:t>
      </w:r>
      <w:proofErr w:type="gramEnd"/>
      <w:r w:rsidRPr="00E72076">
        <w:rPr>
          <w:rFonts w:ascii="Calibri" w:hAnsi="Calibri" w:cs="Calibri"/>
        </w:rPr>
        <w:t xml:space="preserve"> and these include, but are not limited to:</w:t>
      </w:r>
    </w:p>
    <w:p w14:paraId="3D3ED7AE" w14:textId="0222E755" w:rsidR="00AF1A85" w:rsidRPr="00803241" w:rsidRDefault="00370B66" w:rsidP="00AF1A85">
      <w:pPr>
        <w:pStyle w:val="ListParagraph"/>
        <w:numPr>
          <w:ilvl w:val="0"/>
          <w:numId w:val="1"/>
        </w:numPr>
        <w:rPr>
          <w:rFonts w:cs="Calibri"/>
          <w:sz w:val="24"/>
          <w:szCs w:val="24"/>
        </w:rPr>
      </w:pPr>
      <w:r>
        <w:rPr>
          <w:rFonts w:cs="Calibri"/>
          <w:color w:val="000000" w:themeColor="text1"/>
          <w:sz w:val="24"/>
          <w:szCs w:val="24"/>
        </w:rPr>
        <w:t xml:space="preserve">Student Life:  </w:t>
      </w:r>
    </w:p>
    <w:p w14:paraId="392C39B2" w14:textId="0AE751F7" w:rsidR="00AF1A85" w:rsidRDefault="008D38FF" w:rsidP="00AF1A85">
      <w:pPr>
        <w:pStyle w:val="ListParagraph"/>
        <w:ind w:firstLine="0"/>
        <w:rPr>
          <w:rFonts w:asciiTheme="minorHAnsi" w:hAnsiTheme="minorHAnsi"/>
          <w:color w:val="auto"/>
          <w:sz w:val="24"/>
          <w:szCs w:val="24"/>
        </w:rPr>
      </w:pPr>
      <w:hyperlink r:id="rId15" w:history="1">
        <w:r w:rsidR="00AF1A85" w:rsidRPr="00AF1A85">
          <w:rPr>
            <w:rFonts w:asciiTheme="minorHAnsi" w:hAnsiTheme="minorHAnsi"/>
            <w:color w:val="0000FF"/>
            <w:sz w:val="24"/>
            <w:szCs w:val="24"/>
            <w:u w:val="single"/>
          </w:rPr>
          <w:t>Student Services | St. Francis Xa</w:t>
        </w:r>
        <w:r w:rsidR="00AF1A85" w:rsidRPr="00AF1A85">
          <w:rPr>
            <w:rFonts w:asciiTheme="minorHAnsi" w:hAnsiTheme="minorHAnsi"/>
            <w:color w:val="0000FF"/>
            <w:sz w:val="24"/>
            <w:szCs w:val="24"/>
            <w:u w:val="single"/>
          </w:rPr>
          <w:t>v</w:t>
        </w:r>
        <w:r w:rsidR="00AF1A85" w:rsidRPr="00AF1A85">
          <w:rPr>
            <w:rFonts w:asciiTheme="minorHAnsi" w:hAnsiTheme="minorHAnsi"/>
            <w:color w:val="0000FF"/>
            <w:sz w:val="24"/>
            <w:szCs w:val="24"/>
            <w:u w:val="single"/>
          </w:rPr>
          <w:t>ier University (stfx.ca)</w:t>
        </w:r>
      </w:hyperlink>
    </w:p>
    <w:p w14:paraId="67402A20" w14:textId="77777777" w:rsidR="00AF1A85" w:rsidRPr="00AF1A85" w:rsidRDefault="00AF1A85" w:rsidP="00AF1A85">
      <w:pPr>
        <w:pStyle w:val="ListParagraph"/>
        <w:ind w:firstLine="0"/>
        <w:rPr>
          <w:rFonts w:cs="Calibri"/>
          <w:sz w:val="24"/>
          <w:szCs w:val="24"/>
        </w:rPr>
      </w:pPr>
    </w:p>
    <w:p w14:paraId="442AF556" w14:textId="1D22B18F" w:rsidR="00940AF2" w:rsidRPr="00AF1A85" w:rsidRDefault="00370B66" w:rsidP="00AF1A85">
      <w:pPr>
        <w:pStyle w:val="ListParagraph"/>
        <w:numPr>
          <w:ilvl w:val="0"/>
          <w:numId w:val="1"/>
        </w:numPr>
        <w:rPr>
          <w:rFonts w:cs="Calibri"/>
          <w:sz w:val="24"/>
          <w:szCs w:val="24"/>
        </w:rPr>
      </w:pPr>
      <w:r>
        <w:rPr>
          <w:rFonts w:cs="Calibri"/>
          <w:color w:val="000000" w:themeColor="text1"/>
          <w:sz w:val="24"/>
          <w:szCs w:val="24"/>
        </w:rPr>
        <w:t>Office of the Registrar</w:t>
      </w:r>
      <w:r w:rsidR="00940AF2">
        <w:rPr>
          <w:rFonts w:cs="Calibri"/>
          <w:color w:val="000000" w:themeColor="text1"/>
          <w:sz w:val="24"/>
          <w:szCs w:val="24"/>
        </w:rPr>
        <w:t xml:space="preserve">: </w:t>
      </w:r>
    </w:p>
    <w:p w14:paraId="570277DD" w14:textId="60C040D1" w:rsidR="00AF1A85" w:rsidRDefault="008D38FF" w:rsidP="00AF1A85">
      <w:pPr>
        <w:pStyle w:val="ListParagraph"/>
        <w:ind w:firstLine="0"/>
        <w:rPr>
          <w:rFonts w:asciiTheme="minorHAnsi" w:hAnsiTheme="minorHAnsi"/>
          <w:color w:val="auto"/>
          <w:sz w:val="24"/>
          <w:szCs w:val="24"/>
        </w:rPr>
      </w:pPr>
      <w:hyperlink r:id="rId16" w:history="1">
        <w:r w:rsidR="00AF1A85" w:rsidRPr="00AF1A85">
          <w:rPr>
            <w:rFonts w:asciiTheme="minorHAnsi" w:hAnsiTheme="minorHAnsi"/>
            <w:color w:val="0000FF"/>
            <w:sz w:val="24"/>
            <w:szCs w:val="24"/>
            <w:u w:val="single"/>
          </w:rPr>
          <w:t>Registrar’s Offi</w:t>
        </w:r>
        <w:r w:rsidR="00AF1A85" w:rsidRPr="00AF1A85">
          <w:rPr>
            <w:rFonts w:asciiTheme="minorHAnsi" w:hAnsiTheme="minorHAnsi"/>
            <w:color w:val="0000FF"/>
            <w:sz w:val="24"/>
            <w:szCs w:val="24"/>
            <w:u w:val="single"/>
          </w:rPr>
          <w:t>c</w:t>
        </w:r>
        <w:r w:rsidR="00AF1A85" w:rsidRPr="00AF1A85">
          <w:rPr>
            <w:rFonts w:asciiTheme="minorHAnsi" w:hAnsiTheme="minorHAnsi"/>
            <w:color w:val="0000FF"/>
            <w:sz w:val="24"/>
            <w:szCs w:val="24"/>
            <w:u w:val="single"/>
          </w:rPr>
          <w:t>e | St. Francis Xavier University (stfx.ca)</w:t>
        </w:r>
      </w:hyperlink>
    </w:p>
    <w:p w14:paraId="4A837CA0" w14:textId="77777777" w:rsidR="008B390C" w:rsidRPr="00940AF2" w:rsidRDefault="008B390C" w:rsidP="00AF1A85">
      <w:pPr>
        <w:pStyle w:val="ListParagraph"/>
        <w:ind w:firstLine="0"/>
        <w:rPr>
          <w:rFonts w:cs="Calibri"/>
          <w:sz w:val="24"/>
          <w:szCs w:val="24"/>
        </w:rPr>
      </w:pPr>
    </w:p>
    <w:p w14:paraId="4BC58C4D" w14:textId="77777777" w:rsidR="00940AF2" w:rsidRPr="00940AF2" w:rsidRDefault="00E72076" w:rsidP="00E72076">
      <w:pPr>
        <w:pStyle w:val="ListParagraph"/>
        <w:numPr>
          <w:ilvl w:val="0"/>
          <w:numId w:val="1"/>
        </w:numPr>
        <w:rPr>
          <w:rFonts w:cs="Calibri"/>
          <w:sz w:val="24"/>
          <w:szCs w:val="24"/>
        </w:rPr>
      </w:pPr>
      <w:r w:rsidRPr="00E72076">
        <w:rPr>
          <w:rFonts w:cs="Calibri"/>
          <w:color w:val="000000" w:themeColor="text1"/>
          <w:sz w:val="24"/>
          <w:szCs w:val="24"/>
        </w:rPr>
        <w:t>Health &amp; Counselling Centre</w:t>
      </w:r>
      <w:r w:rsidR="00370B66">
        <w:rPr>
          <w:rFonts w:cs="Calibri"/>
          <w:color w:val="000000" w:themeColor="text1"/>
          <w:sz w:val="24"/>
          <w:szCs w:val="24"/>
        </w:rPr>
        <w:t>:</w:t>
      </w:r>
      <w:r w:rsidRPr="00E72076">
        <w:rPr>
          <w:rFonts w:cs="Calibri"/>
          <w:color w:val="000000" w:themeColor="text1"/>
          <w:sz w:val="24"/>
          <w:szCs w:val="24"/>
        </w:rPr>
        <w:t xml:space="preserve"> </w:t>
      </w:r>
    </w:p>
    <w:p w14:paraId="521F5B4A" w14:textId="5459C7DC" w:rsidR="00A4565A" w:rsidRPr="00A4565A" w:rsidRDefault="008D38FF" w:rsidP="00A4565A">
      <w:pPr>
        <w:pStyle w:val="ListParagraph"/>
        <w:ind w:firstLine="0"/>
        <w:rPr>
          <w:rFonts w:cs="Calibri"/>
          <w:sz w:val="24"/>
          <w:szCs w:val="24"/>
        </w:rPr>
      </w:pPr>
      <w:hyperlink r:id="rId17" w:history="1">
        <w:r w:rsidR="00A4565A" w:rsidRPr="00A4565A">
          <w:rPr>
            <w:rFonts w:asciiTheme="minorHAnsi" w:hAnsiTheme="minorHAnsi"/>
            <w:color w:val="0000FF"/>
            <w:sz w:val="24"/>
            <w:szCs w:val="24"/>
            <w:u w:val="single"/>
          </w:rPr>
          <w:t>Health and Counsell</w:t>
        </w:r>
        <w:r w:rsidR="00A4565A" w:rsidRPr="00A4565A">
          <w:rPr>
            <w:rFonts w:asciiTheme="minorHAnsi" w:hAnsiTheme="minorHAnsi"/>
            <w:color w:val="0000FF"/>
            <w:sz w:val="24"/>
            <w:szCs w:val="24"/>
            <w:u w:val="single"/>
          </w:rPr>
          <w:t>i</w:t>
        </w:r>
        <w:r w:rsidR="00A4565A" w:rsidRPr="00A4565A">
          <w:rPr>
            <w:rFonts w:asciiTheme="minorHAnsi" w:hAnsiTheme="minorHAnsi"/>
            <w:color w:val="0000FF"/>
            <w:sz w:val="24"/>
            <w:szCs w:val="24"/>
            <w:u w:val="single"/>
          </w:rPr>
          <w:t>ng Ce</w:t>
        </w:r>
        <w:r w:rsidR="00A4565A" w:rsidRPr="00A4565A">
          <w:rPr>
            <w:rFonts w:asciiTheme="minorHAnsi" w:hAnsiTheme="minorHAnsi"/>
            <w:color w:val="0000FF"/>
            <w:sz w:val="24"/>
            <w:szCs w:val="24"/>
            <w:u w:val="single"/>
          </w:rPr>
          <w:t>n</w:t>
        </w:r>
        <w:r w:rsidR="00A4565A" w:rsidRPr="00A4565A">
          <w:rPr>
            <w:rFonts w:asciiTheme="minorHAnsi" w:hAnsiTheme="minorHAnsi"/>
            <w:color w:val="0000FF"/>
            <w:sz w:val="24"/>
            <w:szCs w:val="24"/>
            <w:u w:val="single"/>
          </w:rPr>
          <w:t>tre | St. Francis Xavier University (stfx.ca)</w:t>
        </w:r>
      </w:hyperlink>
    </w:p>
    <w:p w14:paraId="04B2EF2B" w14:textId="77777777" w:rsidR="008B390C" w:rsidRPr="008B390C" w:rsidRDefault="008B390C" w:rsidP="008B390C">
      <w:pPr>
        <w:pStyle w:val="ListParagraph"/>
        <w:ind w:firstLine="0"/>
        <w:rPr>
          <w:rFonts w:cs="Calibri"/>
          <w:sz w:val="24"/>
          <w:szCs w:val="24"/>
        </w:rPr>
      </w:pPr>
    </w:p>
    <w:p w14:paraId="5EC6027D" w14:textId="3150D2C7" w:rsidR="00940AF2" w:rsidRPr="00940AF2" w:rsidRDefault="00E72076" w:rsidP="00E72076">
      <w:pPr>
        <w:pStyle w:val="ListParagraph"/>
        <w:numPr>
          <w:ilvl w:val="0"/>
          <w:numId w:val="1"/>
        </w:numPr>
        <w:rPr>
          <w:rFonts w:cs="Calibri"/>
          <w:sz w:val="24"/>
          <w:szCs w:val="24"/>
        </w:rPr>
      </w:pPr>
      <w:r w:rsidRPr="00E72076">
        <w:rPr>
          <w:rFonts w:cs="Calibri"/>
          <w:color w:val="000000" w:themeColor="text1"/>
          <w:sz w:val="24"/>
          <w:szCs w:val="24"/>
        </w:rPr>
        <w:t>Academic Advising</w:t>
      </w:r>
      <w:r w:rsidR="00370B66">
        <w:rPr>
          <w:rFonts w:cs="Calibri"/>
          <w:color w:val="000000" w:themeColor="text1"/>
          <w:sz w:val="24"/>
          <w:szCs w:val="24"/>
        </w:rPr>
        <w:t>:</w:t>
      </w:r>
    </w:p>
    <w:p w14:paraId="43657CD4" w14:textId="4BB730BD" w:rsidR="008D38FF" w:rsidRPr="008D38FF" w:rsidRDefault="008D38FF" w:rsidP="008D38FF">
      <w:pPr>
        <w:pStyle w:val="ListParagraph"/>
        <w:ind w:firstLine="0"/>
        <w:rPr>
          <w:rFonts w:cs="Calibri"/>
          <w:sz w:val="24"/>
          <w:szCs w:val="24"/>
        </w:rPr>
      </w:pPr>
      <w:hyperlink r:id="rId18" w:history="1">
        <w:r w:rsidRPr="008D38FF">
          <w:rPr>
            <w:rFonts w:asciiTheme="minorHAnsi" w:hAnsiTheme="minorHAnsi"/>
            <w:color w:val="0000FF"/>
            <w:sz w:val="24"/>
            <w:szCs w:val="24"/>
            <w:u w:val="single"/>
          </w:rPr>
          <w:t>Academic Advising | St. Francis Xavier University (stfx.ca)</w:t>
        </w:r>
      </w:hyperlink>
    </w:p>
    <w:p w14:paraId="0F7B0C6C" w14:textId="77777777" w:rsidR="008D38FF" w:rsidRPr="008D38FF" w:rsidRDefault="008D38FF" w:rsidP="008D38FF">
      <w:pPr>
        <w:pStyle w:val="ListParagraph"/>
        <w:ind w:firstLine="0"/>
        <w:rPr>
          <w:rFonts w:cs="Calibri"/>
          <w:sz w:val="24"/>
          <w:szCs w:val="24"/>
        </w:rPr>
      </w:pPr>
    </w:p>
    <w:p w14:paraId="338DA4CA" w14:textId="72750CDA" w:rsidR="00940AF2" w:rsidRPr="00940AF2" w:rsidRDefault="00803241" w:rsidP="00E72076">
      <w:pPr>
        <w:pStyle w:val="ListParagraph"/>
        <w:numPr>
          <w:ilvl w:val="0"/>
          <w:numId w:val="1"/>
        </w:numPr>
        <w:rPr>
          <w:rFonts w:cs="Calibri"/>
          <w:sz w:val="24"/>
          <w:szCs w:val="24"/>
        </w:rPr>
      </w:pPr>
      <w:r>
        <w:rPr>
          <w:rFonts w:cs="Calibri"/>
          <w:color w:val="000000" w:themeColor="text1"/>
          <w:sz w:val="24"/>
          <w:szCs w:val="24"/>
        </w:rPr>
        <w:t xml:space="preserve">Academic </w:t>
      </w:r>
      <w:r w:rsidR="00940AF2">
        <w:rPr>
          <w:rFonts w:cs="Calibri"/>
          <w:color w:val="000000" w:themeColor="text1"/>
          <w:sz w:val="24"/>
          <w:szCs w:val="24"/>
        </w:rPr>
        <w:t xml:space="preserve">Success Centre:  </w:t>
      </w:r>
    </w:p>
    <w:p w14:paraId="4A006776" w14:textId="44F3E23D" w:rsidR="00E72076" w:rsidRPr="00E72076" w:rsidRDefault="008D38FF" w:rsidP="00940AF2">
      <w:pPr>
        <w:pStyle w:val="ListParagraph"/>
        <w:ind w:firstLine="0"/>
        <w:rPr>
          <w:rFonts w:cs="Calibri"/>
          <w:sz w:val="24"/>
          <w:szCs w:val="24"/>
        </w:rPr>
      </w:pPr>
      <w:hyperlink r:id="rId19" w:history="1">
        <w:r w:rsidR="007341D2" w:rsidRPr="007341D2">
          <w:rPr>
            <w:rFonts w:asciiTheme="minorHAnsi" w:hAnsiTheme="minorHAnsi"/>
            <w:color w:val="0000FF"/>
            <w:sz w:val="24"/>
            <w:szCs w:val="24"/>
            <w:u w:val="single"/>
          </w:rPr>
          <w:t>Academic Success Centre | St. Francis Xavier University (stfx.ca)</w:t>
        </w:r>
      </w:hyperlink>
    </w:p>
    <w:p w14:paraId="1448B124" w14:textId="77777777" w:rsidR="008B390C" w:rsidRPr="008B390C" w:rsidRDefault="008B390C" w:rsidP="008B390C">
      <w:pPr>
        <w:pStyle w:val="ListParagraph"/>
        <w:ind w:firstLine="0"/>
        <w:rPr>
          <w:rFonts w:cs="Calibri"/>
          <w:sz w:val="24"/>
          <w:szCs w:val="24"/>
        </w:rPr>
      </w:pPr>
    </w:p>
    <w:p w14:paraId="2F368A7A" w14:textId="01437769" w:rsidR="00940AF2" w:rsidRPr="00940AF2" w:rsidRDefault="00E72076" w:rsidP="00E72076">
      <w:pPr>
        <w:pStyle w:val="ListParagraph"/>
        <w:numPr>
          <w:ilvl w:val="0"/>
          <w:numId w:val="1"/>
        </w:numPr>
        <w:rPr>
          <w:rFonts w:cs="Calibri"/>
          <w:sz w:val="24"/>
          <w:szCs w:val="24"/>
        </w:rPr>
      </w:pPr>
      <w:r w:rsidRPr="00E72076">
        <w:rPr>
          <w:rFonts w:cs="Calibri"/>
          <w:color w:val="000000" w:themeColor="text1"/>
          <w:sz w:val="24"/>
          <w:szCs w:val="24"/>
        </w:rPr>
        <w:t>Student Career Centre</w:t>
      </w:r>
      <w:r w:rsidR="00940AF2">
        <w:rPr>
          <w:rFonts w:cs="Calibri"/>
          <w:color w:val="000000" w:themeColor="text1"/>
          <w:sz w:val="24"/>
          <w:szCs w:val="24"/>
        </w:rPr>
        <w:t>:</w:t>
      </w:r>
    </w:p>
    <w:p w14:paraId="7D36EAD8" w14:textId="5256CB7A" w:rsidR="001F16D4" w:rsidRDefault="008D38FF" w:rsidP="00940AF2">
      <w:pPr>
        <w:pStyle w:val="ListParagraph"/>
        <w:ind w:firstLine="0"/>
        <w:rPr>
          <w:rFonts w:asciiTheme="minorHAnsi" w:hAnsiTheme="minorHAnsi"/>
          <w:color w:val="0000FF"/>
          <w:sz w:val="24"/>
          <w:szCs w:val="24"/>
          <w:u w:val="single"/>
        </w:rPr>
      </w:pPr>
      <w:hyperlink r:id="rId20" w:history="1">
        <w:r w:rsidR="001F16D4" w:rsidRPr="001F16D4">
          <w:rPr>
            <w:rFonts w:asciiTheme="minorHAnsi" w:hAnsiTheme="minorHAnsi"/>
            <w:color w:val="0000FF"/>
            <w:sz w:val="24"/>
            <w:szCs w:val="24"/>
            <w:u w:val="single"/>
          </w:rPr>
          <w:t>Student Career Centre | St. Francis Xavier University (stfx.ca)</w:t>
        </w:r>
      </w:hyperlink>
    </w:p>
    <w:p w14:paraId="4A68EEB4" w14:textId="77777777" w:rsidR="008B390C" w:rsidRPr="008B390C" w:rsidRDefault="008B390C" w:rsidP="008B390C">
      <w:pPr>
        <w:pStyle w:val="ListParagraph"/>
        <w:ind w:firstLine="0"/>
        <w:rPr>
          <w:rFonts w:cs="Calibri"/>
          <w:sz w:val="24"/>
          <w:szCs w:val="24"/>
        </w:rPr>
      </w:pPr>
    </w:p>
    <w:p w14:paraId="3BFC41BD" w14:textId="43C07C2F" w:rsidR="00E72076" w:rsidRPr="00940AF2" w:rsidRDefault="00940AF2" w:rsidP="00E72076">
      <w:pPr>
        <w:pStyle w:val="ListParagraph"/>
        <w:numPr>
          <w:ilvl w:val="0"/>
          <w:numId w:val="1"/>
        </w:numPr>
        <w:rPr>
          <w:rFonts w:cs="Calibri"/>
          <w:sz w:val="24"/>
          <w:szCs w:val="24"/>
        </w:rPr>
      </w:pPr>
      <w:r>
        <w:rPr>
          <w:rFonts w:cs="Calibri"/>
          <w:color w:val="000000" w:themeColor="text1"/>
          <w:sz w:val="24"/>
          <w:szCs w:val="24"/>
        </w:rPr>
        <w:t>Office of Internationalization:</w:t>
      </w:r>
    </w:p>
    <w:p w14:paraId="09FBB386" w14:textId="636CD298" w:rsidR="008B390C" w:rsidRPr="008B390C" w:rsidRDefault="008D38FF" w:rsidP="008B390C">
      <w:pPr>
        <w:pStyle w:val="ListParagraph"/>
        <w:ind w:firstLine="0"/>
        <w:rPr>
          <w:rFonts w:cs="Calibri"/>
          <w:sz w:val="24"/>
          <w:szCs w:val="24"/>
        </w:rPr>
      </w:pPr>
      <w:hyperlink r:id="rId21" w:history="1">
        <w:r w:rsidR="008B390C" w:rsidRPr="008B390C">
          <w:rPr>
            <w:rFonts w:asciiTheme="minorHAnsi" w:hAnsiTheme="minorHAnsi"/>
            <w:color w:val="0000FF"/>
            <w:sz w:val="24"/>
            <w:szCs w:val="24"/>
            <w:u w:val="single"/>
          </w:rPr>
          <w:t>Internationalization | St. Francis Xavier University (stfx.ca)</w:t>
        </w:r>
      </w:hyperlink>
    </w:p>
    <w:p w14:paraId="578DD2E4" w14:textId="77777777" w:rsidR="008B390C" w:rsidRPr="008B390C" w:rsidRDefault="008B390C" w:rsidP="008B390C">
      <w:pPr>
        <w:pStyle w:val="ListParagraph"/>
        <w:ind w:firstLine="0"/>
        <w:rPr>
          <w:rFonts w:cs="Calibri"/>
          <w:sz w:val="24"/>
          <w:szCs w:val="24"/>
        </w:rPr>
      </w:pPr>
    </w:p>
    <w:p w14:paraId="22EA3464" w14:textId="369A4675" w:rsidR="00940AF2" w:rsidRPr="008B390C" w:rsidRDefault="00E72076" w:rsidP="00E72076">
      <w:pPr>
        <w:pStyle w:val="ListParagraph"/>
        <w:numPr>
          <w:ilvl w:val="0"/>
          <w:numId w:val="1"/>
        </w:numPr>
        <w:rPr>
          <w:rFonts w:cs="Calibri"/>
          <w:sz w:val="24"/>
          <w:szCs w:val="24"/>
        </w:rPr>
      </w:pPr>
      <w:r w:rsidRPr="00E72076">
        <w:rPr>
          <w:rFonts w:cs="Calibri"/>
          <w:color w:val="000000" w:themeColor="text1"/>
          <w:sz w:val="24"/>
          <w:szCs w:val="24"/>
        </w:rPr>
        <w:t>Financial Aid Office</w:t>
      </w:r>
      <w:r w:rsidR="00940AF2">
        <w:rPr>
          <w:rFonts w:cs="Calibri"/>
          <w:color w:val="000000" w:themeColor="text1"/>
          <w:sz w:val="24"/>
          <w:szCs w:val="24"/>
        </w:rPr>
        <w:t>:</w:t>
      </w:r>
    </w:p>
    <w:p w14:paraId="14946758" w14:textId="0509B70E" w:rsidR="008B390C" w:rsidRPr="00940AF2" w:rsidRDefault="008D38FF" w:rsidP="008B390C">
      <w:pPr>
        <w:pStyle w:val="ListParagraph"/>
        <w:ind w:firstLine="0"/>
        <w:rPr>
          <w:rFonts w:cs="Calibri"/>
          <w:sz w:val="24"/>
          <w:szCs w:val="24"/>
        </w:rPr>
      </w:pPr>
      <w:hyperlink r:id="rId22" w:history="1">
        <w:r w:rsidR="008B390C" w:rsidRPr="008B390C">
          <w:rPr>
            <w:rFonts w:asciiTheme="minorHAnsi" w:hAnsiTheme="minorHAnsi"/>
            <w:color w:val="0000FF"/>
            <w:sz w:val="24"/>
            <w:szCs w:val="24"/>
            <w:u w:val="single"/>
          </w:rPr>
          <w:t>Financial Aid Office | St. Francis Xavier University (stfx.ca)</w:t>
        </w:r>
      </w:hyperlink>
    </w:p>
    <w:p w14:paraId="131610FA" w14:textId="77777777" w:rsidR="00E72076" w:rsidRPr="00E72076" w:rsidRDefault="00E72076" w:rsidP="00E72076">
      <w:pPr>
        <w:rPr>
          <w:rFonts w:asciiTheme="majorHAnsi" w:hAnsiTheme="majorHAnsi"/>
          <w:color w:val="44546A" w:themeColor="text2"/>
          <w:sz w:val="28"/>
          <w:szCs w:val="28"/>
        </w:rPr>
      </w:pPr>
    </w:p>
    <w:p w14:paraId="6810D789" w14:textId="1D7E5881" w:rsidR="00E72076" w:rsidRPr="003D1B0D" w:rsidRDefault="00E72076" w:rsidP="00E72076">
      <w:pPr>
        <w:rPr>
          <w:rFonts w:asciiTheme="majorHAnsi" w:hAnsiTheme="majorHAnsi"/>
          <w:b/>
          <w:color w:val="44546A" w:themeColor="text2"/>
          <w:sz w:val="28"/>
          <w:szCs w:val="28"/>
          <w:u w:val="single"/>
        </w:rPr>
      </w:pPr>
      <w:r w:rsidRPr="003D1B0D">
        <w:rPr>
          <w:rFonts w:asciiTheme="majorHAnsi" w:hAnsiTheme="majorHAnsi"/>
          <w:b/>
          <w:color w:val="44546A" w:themeColor="text2"/>
          <w:sz w:val="28"/>
          <w:szCs w:val="28"/>
          <w:u w:val="single"/>
        </w:rPr>
        <w:t>Health and Wellness</w:t>
      </w:r>
    </w:p>
    <w:p w14:paraId="692985E6" w14:textId="44A4619E" w:rsidR="00E72076" w:rsidRPr="00E72076" w:rsidRDefault="00E72076" w:rsidP="00E72076">
      <w:pPr>
        <w:rPr>
          <w:rFonts w:ascii="Calibri" w:hAnsi="Calibri" w:cs="Calibri"/>
        </w:rPr>
      </w:pPr>
      <w:r w:rsidRPr="00E72076">
        <w:rPr>
          <w:rFonts w:ascii="Calibri" w:hAnsi="Calibri" w:cs="Calibri"/>
        </w:rPr>
        <w:t>As part of a successful undergraduate experience at St. Francis Xavier University, we encourage you to make your health and wellness a priority. StFX provides several on-campus health-related services to help you achieve optimum health and engage in healthy living while pursuing your degree. For example, to support physical activity, all students receive membership to the StFX Athletics &amp; Recreation Centre as part of their registration fees. Please visit the Athletics &amp; Recreation website</w:t>
      </w:r>
      <w:r w:rsidR="00E82BDF">
        <w:rPr>
          <w:rFonts w:ascii="Calibri" w:hAnsi="Calibri" w:cs="Calibri"/>
        </w:rPr>
        <w:t xml:space="preserve"> at </w:t>
      </w:r>
      <w:r w:rsidRPr="00E72076">
        <w:rPr>
          <w:rFonts w:ascii="Calibri" w:hAnsi="Calibri" w:cs="Calibri"/>
        </w:rPr>
        <w:t xml:space="preserve"> </w:t>
      </w:r>
      <w:r w:rsidR="0026448A">
        <w:rPr>
          <w:rFonts w:ascii="Calibri" w:hAnsi="Calibri" w:cs="Calibri"/>
        </w:rPr>
        <w:t xml:space="preserve">    </w:t>
      </w:r>
      <w:hyperlink r:id="rId23" w:history="1">
        <w:r w:rsidR="00E82BDF" w:rsidRPr="00E82BDF">
          <w:rPr>
            <w:color w:val="0000FF"/>
            <w:u w:val="single"/>
          </w:rPr>
          <w:t>Campus Recreation | St. Francis Xavier University (stfx.ca)</w:t>
        </w:r>
      </w:hyperlink>
      <w:r w:rsidR="00E82BDF">
        <w:rPr>
          <w:rFonts w:ascii="Calibri" w:hAnsi="Calibri" w:cs="Calibri"/>
        </w:rPr>
        <w:t xml:space="preserve"> </w:t>
      </w:r>
      <w:r w:rsidRPr="00E72076">
        <w:rPr>
          <w:rFonts w:ascii="Calibri" w:hAnsi="Calibri" w:cs="Calibri"/>
        </w:rPr>
        <w:t>for opportunities including intramural sports. Numerous cultural events are offered throughout the year. Please check out the Department of Music web page</w:t>
      </w:r>
      <w:r w:rsidR="00E82BDF">
        <w:rPr>
          <w:rFonts w:ascii="Calibri" w:hAnsi="Calibri" w:cs="Calibri"/>
        </w:rPr>
        <w:t xml:space="preserve"> </w:t>
      </w:r>
      <w:hyperlink r:id="rId24" w:history="1">
        <w:r w:rsidR="00E82BDF" w:rsidRPr="00E82BDF">
          <w:rPr>
            <w:color w:val="0000FF"/>
            <w:u w:val="single"/>
          </w:rPr>
          <w:t>Music | St. Francis Xavier University (stfx.ca)</w:t>
        </w:r>
      </w:hyperlink>
      <w:r w:rsidR="00E82BDF">
        <w:rPr>
          <w:rFonts w:ascii="Calibri" w:hAnsi="Calibri" w:cs="Calibri"/>
        </w:rPr>
        <w:t xml:space="preserve">, </w:t>
      </w:r>
      <w:r w:rsidR="0026448A">
        <w:rPr>
          <w:rFonts w:ascii="Calibri" w:hAnsi="Calibri" w:cs="Calibri"/>
        </w:rPr>
        <w:t xml:space="preserve">the StFX Art Gallery </w:t>
      </w:r>
      <w:r w:rsidR="00803241">
        <w:rPr>
          <w:rFonts w:ascii="Calibri" w:hAnsi="Calibri" w:cs="Calibri"/>
        </w:rPr>
        <w:t>(</w:t>
      </w:r>
      <w:hyperlink r:id="rId25" w:history="1">
        <w:r w:rsidR="00803241" w:rsidRPr="001E6D28">
          <w:rPr>
            <w:rStyle w:val="Hyperlink"/>
            <w:rFonts w:ascii="Calibri" w:hAnsi="Calibri" w:cs="Calibri"/>
          </w:rPr>
          <w:t>https://www.stfx.ca/art-gallery</w:t>
        </w:r>
      </w:hyperlink>
      <w:r w:rsidR="00803241">
        <w:rPr>
          <w:rFonts w:ascii="Calibri" w:hAnsi="Calibri" w:cs="Calibri"/>
        </w:rPr>
        <w:t xml:space="preserve">)  </w:t>
      </w:r>
      <w:r w:rsidR="0026448A">
        <w:rPr>
          <w:rFonts w:ascii="Calibri" w:hAnsi="Calibri" w:cs="Calibri"/>
        </w:rPr>
        <w:t xml:space="preserve">or Theatre Antigonish </w:t>
      </w:r>
      <w:r w:rsidR="00764E7E">
        <w:rPr>
          <w:rFonts w:ascii="Calibri" w:hAnsi="Calibri" w:cs="Calibri"/>
        </w:rPr>
        <w:t>(</w:t>
      </w:r>
      <w:hyperlink r:id="rId26" w:history="1">
        <w:r w:rsidR="00764E7E" w:rsidRPr="00764E7E">
          <w:rPr>
            <w:color w:val="0000FF"/>
            <w:u w:val="single"/>
          </w:rPr>
          <w:t>Theatre Antigonish | St. Francis Xavier University</w:t>
        </w:r>
        <w:r w:rsidR="00764E7E">
          <w:rPr>
            <w:color w:val="0000FF"/>
            <w:u w:val="single"/>
          </w:rPr>
          <w:t>)</w:t>
        </w:r>
        <w:r w:rsidR="00764E7E" w:rsidRPr="00764E7E">
          <w:rPr>
            <w:color w:val="0000FF"/>
            <w:u w:val="single"/>
          </w:rPr>
          <w:t xml:space="preserve"> (stfx.ca)</w:t>
        </w:r>
      </w:hyperlink>
      <w:r w:rsidR="00764E7E">
        <w:rPr>
          <w:rFonts w:ascii="Calibri" w:hAnsi="Calibri" w:cs="Calibri"/>
        </w:rPr>
        <w:t xml:space="preserve"> </w:t>
      </w:r>
      <w:r w:rsidRPr="00E72076">
        <w:rPr>
          <w:rFonts w:ascii="Calibri" w:hAnsi="Calibri" w:cs="Calibri"/>
        </w:rPr>
        <w:t>for various events.</w:t>
      </w:r>
    </w:p>
    <w:p w14:paraId="7902AE4E" w14:textId="77777777" w:rsidR="00E72076" w:rsidRPr="00E72076" w:rsidRDefault="00E72076" w:rsidP="00E72076">
      <w:pPr>
        <w:rPr>
          <w:rFonts w:ascii="Calibri" w:hAnsi="Calibri" w:cs="Calibri"/>
        </w:rPr>
      </w:pPr>
    </w:p>
    <w:p w14:paraId="3C5E7337" w14:textId="5BA82B0D" w:rsidR="00E72076" w:rsidRPr="0061621F" w:rsidRDefault="00E72076">
      <w:pPr>
        <w:rPr>
          <w:rFonts w:ascii="Calibri" w:hAnsi="Calibri" w:cs="Calibri"/>
        </w:rPr>
      </w:pPr>
      <w:r w:rsidRPr="00E72076">
        <w:rPr>
          <w:rFonts w:ascii="Calibri" w:hAnsi="Calibri" w:cs="Calibri"/>
        </w:rPr>
        <w:t xml:space="preserve">Further information regarding health and wellness-related services available to students may be found at </w:t>
      </w:r>
      <w:hyperlink r:id="rId27" w:history="1">
        <w:proofErr w:type="spellStart"/>
        <w:r w:rsidR="00C264CE" w:rsidRPr="00C264CE">
          <w:rPr>
            <w:color w:val="0000FF"/>
            <w:u w:val="single"/>
          </w:rPr>
          <w:t>Wellness@X</w:t>
        </w:r>
        <w:proofErr w:type="spellEnd"/>
        <w:r w:rsidR="00C264CE" w:rsidRPr="00C264CE">
          <w:rPr>
            <w:color w:val="0000FF"/>
            <w:u w:val="single"/>
          </w:rPr>
          <w:t xml:space="preserve"> | St. Francis Xavier University (stfx.ca)</w:t>
        </w:r>
      </w:hyperlink>
      <w:r w:rsidR="00C264CE">
        <w:rPr>
          <w:rFonts w:ascii="Calibri" w:hAnsi="Calibri" w:cs="Calibri"/>
        </w:rPr>
        <w:t xml:space="preserve">.  </w:t>
      </w:r>
      <w:r w:rsidRPr="00E72076">
        <w:rPr>
          <w:rFonts w:ascii="Calibri" w:hAnsi="Calibri" w:cs="Calibri"/>
        </w:rPr>
        <w:t xml:space="preserve">If you are in emotional or mental distress please refer to the various mental health supports provided through Health &amp; Counselling at </w:t>
      </w:r>
      <w:hyperlink r:id="rId28" w:history="1">
        <w:r w:rsidR="00D23019" w:rsidRPr="00D23019">
          <w:rPr>
            <w:color w:val="0000FF"/>
            <w:u w:val="single"/>
          </w:rPr>
          <w:t>Health and Counselling Services | St. Francis Xavier University (stfx.ca)</w:t>
        </w:r>
      </w:hyperlink>
    </w:p>
    <w:sectPr w:rsidR="00E72076" w:rsidRPr="0061621F" w:rsidSect="00370B66">
      <w:footerReference w:type="default" r:id="rId29"/>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3787" w14:textId="77777777" w:rsidR="00047E04" w:rsidRDefault="00047E04" w:rsidP="00047E04">
      <w:r>
        <w:separator/>
      </w:r>
    </w:p>
  </w:endnote>
  <w:endnote w:type="continuationSeparator" w:id="0">
    <w:p w14:paraId="18C4E25B" w14:textId="77777777" w:rsidR="00047E04" w:rsidRDefault="00047E04" w:rsidP="0004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E491" w14:textId="1A9AC605" w:rsidR="00047E04" w:rsidRDefault="0004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4061" w14:textId="77777777" w:rsidR="00047E04" w:rsidRDefault="00047E04" w:rsidP="00047E04">
      <w:r>
        <w:separator/>
      </w:r>
    </w:p>
  </w:footnote>
  <w:footnote w:type="continuationSeparator" w:id="0">
    <w:p w14:paraId="6D3029D9" w14:textId="77777777" w:rsidR="00047E04" w:rsidRDefault="00047E04" w:rsidP="00047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7120716"/>
    <w:multiLevelType w:val="hybridMultilevel"/>
    <w:tmpl w:val="D3B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462185850">
    <w:abstractNumId w:val="1"/>
  </w:num>
  <w:num w:numId="2" w16cid:durableId="892234663">
    <w:abstractNumId w:val="2"/>
  </w:num>
  <w:num w:numId="3" w16cid:durableId="58897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76"/>
    <w:rsid w:val="00027900"/>
    <w:rsid w:val="00047E04"/>
    <w:rsid w:val="000A1A43"/>
    <w:rsid w:val="000A34F6"/>
    <w:rsid w:val="000B3566"/>
    <w:rsid w:val="00116AD4"/>
    <w:rsid w:val="0016597A"/>
    <w:rsid w:val="001F16D4"/>
    <w:rsid w:val="002313FC"/>
    <w:rsid w:val="002526F9"/>
    <w:rsid w:val="0026448A"/>
    <w:rsid w:val="00280A59"/>
    <w:rsid w:val="002F28E2"/>
    <w:rsid w:val="00307119"/>
    <w:rsid w:val="00370B66"/>
    <w:rsid w:val="00392FA6"/>
    <w:rsid w:val="003D1B0D"/>
    <w:rsid w:val="003D2D05"/>
    <w:rsid w:val="004B3116"/>
    <w:rsid w:val="0061621F"/>
    <w:rsid w:val="00705CCF"/>
    <w:rsid w:val="007341D2"/>
    <w:rsid w:val="007478B8"/>
    <w:rsid w:val="00760D85"/>
    <w:rsid w:val="00764E7E"/>
    <w:rsid w:val="007B0A85"/>
    <w:rsid w:val="00803241"/>
    <w:rsid w:val="008B390C"/>
    <w:rsid w:val="008D38FF"/>
    <w:rsid w:val="00902962"/>
    <w:rsid w:val="00940AF2"/>
    <w:rsid w:val="009667BD"/>
    <w:rsid w:val="009948D8"/>
    <w:rsid w:val="00A4565A"/>
    <w:rsid w:val="00A95526"/>
    <w:rsid w:val="00AF1A85"/>
    <w:rsid w:val="00B144C6"/>
    <w:rsid w:val="00BC3E84"/>
    <w:rsid w:val="00C0304F"/>
    <w:rsid w:val="00C264CE"/>
    <w:rsid w:val="00C63ABD"/>
    <w:rsid w:val="00D23019"/>
    <w:rsid w:val="00D4753E"/>
    <w:rsid w:val="00DA1866"/>
    <w:rsid w:val="00E72076"/>
    <w:rsid w:val="00E82BDF"/>
    <w:rsid w:val="00F0426F"/>
    <w:rsid w:val="00F1658D"/>
    <w:rsid w:val="00FB239F"/>
    <w:rsid w:val="00F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1C6"/>
  <w14:defaultImageDpi w14:val="32767"/>
  <w15:chartTrackingRefBased/>
  <w15:docId w15:val="{97D1471F-1F4A-8D42-9DBA-1CFCC904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76"/>
    <w:pPr>
      <w:keepNext/>
      <w:keepLines/>
      <w:spacing w:before="360"/>
      <w:outlineLvl w:val="0"/>
    </w:pPr>
    <w:rPr>
      <w:rFonts w:asciiTheme="majorHAnsi" w:eastAsiaTheme="majorEastAsia" w:hAnsiTheme="majorHAnsi" w:cstheme="majorBidi"/>
      <w:bCs/>
      <w:color w:val="44546A" w:themeColor="text2"/>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076"/>
    <w:rPr>
      <w:rFonts w:asciiTheme="majorHAnsi" w:eastAsiaTheme="majorEastAsia" w:hAnsiTheme="majorHAnsi" w:cstheme="majorBidi"/>
      <w:bCs/>
      <w:color w:val="44546A" w:themeColor="text2"/>
      <w:spacing w:val="20"/>
      <w:sz w:val="32"/>
      <w:szCs w:val="28"/>
    </w:rPr>
  </w:style>
  <w:style w:type="character" w:styleId="Hyperlink">
    <w:name w:val="Hyperlink"/>
    <w:basedOn w:val="DefaultParagraphFont"/>
    <w:uiPriority w:val="99"/>
    <w:unhideWhenUsed/>
    <w:rsid w:val="00E72076"/>
    <w:rPr>
      <w:color w:val="0563C1" w:themeColor="hyperlink"/>
      <w:u w:val="single"/>
    </w:rPr>
  </w:style>
  <w:style w:type="paragraph" w:styleId="ListParagraph">
    <w:name w:val="List Paragraph"/>
    <w:basedOn w:val="Normal"/>
    <w:uiPriority w:val="34"/>
    <w:qFormat/>
    <w:rsid w:val="00E72076"/>
    <w:pPr>
      <w:spacing w:after="180"/>
      <w:ind w:left="720" w:hanging="288"/>
      <w:contextualSpacing/>
    </w:pPr>
    <w:rPr>
      <w:rFonts w:ascii="Calibri" w:hAnsi="Calibri"/>
      <w:color w:val="44546A" w:themeColor="text2"/>
      <w:sz w:val="22"/>
      <w:szCs w:val="22"/>
    </w:rPr>
  </w:style>
  <w:style w:type="paragraph" w:customStyle="1" w:styleId="Default">
    <w:name w:val="Default"/>
    <w:rsid w:val="00E72076"/>
    <w:pPr>
      <w:widowControl w:val="0"/>
      <w:autoSpaceDE w:val="0"/>
      <w:autoSpaceDN w:val="0"/>
      <w:adjustRightInd w:val="0"/>
    </w:pPr>
    <w:rPr>
      <w:rFonts w:ascii="Times New Roman" w:eastAsia="Times New Roman" w:hAnsi="Times New Roman" w:cs="Times New Roman"/>
      <w:color w:val="000000"/>
    </w:rPr>
  </w:style>
  <w:style w:type="character" w:customStyle="1" w:styleId="UnresolvedMention1">
    <w:name w:val="Unresolved Mention1"/>
    <w:basedOn w:val="DefaultParagraphFont"/>
    <w:uiPriority w:val="99"/>
    <w:rsid w:val="00E72076"/>
    <w:rPr>
      <w:color w:val="605E5C"/>
      <w:shd w:val="clear" w:color="auto" w:fill="E1DFDD"/>
    </w:rPr>
  </w:style>
  <w:style w:type="character" w:styleId="FollowedHyperlink">
    <w:name w:val="FollowedHyperlink"/>
    <w:basedOn w:val="DefaultParagraphFont"/>
    <w:uiPriority w:val="99"/>
    <w:semiHidden/>
    <w:unhideWhenUsed/>
    <w:rsid w:val="00E72076"/>
    <w:rPr>
      <w:color w:val="954F72" w:themeColor="followedHyperlink"/>
      <w:u w:val="single"/>
    </w:rPr>
  </w:style>
  <w:style w:type="paragraph" w:styleId="ListBullet">
    <w:name w:val="List Bullet"/>
    <w:basedOn w:val="Normal"/>
    <w:uiPriority w:val="12"/>
    <w:unhideWhenUsed/>
    <w:qFormat/>
    <w:rsid w:val="009667BD"/>
    <w:pPr>
      <w:numPr>
        <w:numId w:val="2"/>
      </w:numPr>
      <w:spacing w:after="140" w:line="274" w:lineRule="auto"/>
    </w:pPr>
    <w:rPr>
      <w:rFonts w:ascii="Calibri" w:hAnsi="Calibri"/>
      <w:sz w:val="22"/>
      <w:szCs w:val="22"/>
      <w:lang w:eastAsia="ja-JP"/>
    </w:rPr>
  </w:style>
  <w:style w:type="character" w:styleId="Emphasis">
    <w:name w:val="Emphasis"/>
    <w:basedOn w:val="DefaultParagraphFont"/>
    <w:uiPriority w:val="20"/>
    <w:qFormat/>
    <w:rsid w:val="009667BD"/>
    <w:rPr>
      <w:b/>
      <w:i/>
      <w:iCs/>
    </w:rPr>
  </w:style>
  <w:style w:type="paragraph" w:styleId="BodyText">
    <w:name w:val="Body Text"/>
    <w:basedOn w:val="Normal"/>
    <w:link w:val="BodyTextChar"/>
    <w:uiPriority w:val="99"/>
    <w:unhideWhenUsed/>
    <w:rsid w:val="009667BD"/>
    <w:pPr>
      <w:spacing w:after="120" w:line="274" w:lineRule="auto"/>
    </w:pPr>
    <w:rPr>
      <w:rFonts w:ascii="Calibri" w:hAnsi="Calibri"/>
      <w:sz w:val="22"/>
      <w:szCs w:val="22"/>
    </w:rPr>
  </w:style>
  <w:style w:type="character" w:customStyle="1" w:styleId="BodyTextChar">
    <w:name w:val="Body Text Char"/>
    <w:basedOn w:val="DefaultParagraphFont"/>
    <w:link w:val="BodyText"/>
    <w:uiPriority w:val="99"/>
    <w:rsid w:val="009667BD"/>
    <w:rPr>
      <w:rFonts w:ascii="Calibri" w:hAnsi="Calibri"/>
      <w:sz w:val="22"/>
      <w:szCs w:val="22"/>
    </w:rPr>
  </w:style>
  <w:style w:type="paragraph" w:styleId="ListBullet2">
    <w:name w:val="List Bullet 2"/>
    <w:basedOn w:val="Normal"/>
    <w:uiPriority w:val="99"/>
    <w:semiHidden/>
    <w:unhideWhenUsed/>
    <w:rsid w:val="009667BD"/>
    <w:pPr>
      <w:numPr>
        <w:numId w:val="3"/>
      </w:numPr>
      <w:spacing w:after="180" w:line="274" w:lineRule="auto"/>
      <w:contextualSpacing/>
    </w:pPr>
    <w:rPr>
      <w:rFonts w:ascii="Calibri" w:hAnsi="Calibri"/>
      <w:sz w:val="22"/>
      <w:szCs w:val="22"/>
    </w:rPr>
  </w:style>
  <w:style w:type="table" w:customStyle="1" w:styleId="SyllabusTable">
    <w:name w:val="Syllabus Table"/>
    <w:basedOn w:val="TableNormal"/>
    <w:uiPriority w:val="99"/>
    <w:rsid w:val="009667BD"/>
    <w:pPr>
      <w:spacing w:before="60" w:after="60" w:line="276" w:lineRule="auto"/>
    </w:pPr>
    <w:rPr>
      <w:sz w:val="22"/>
      <w:szCs w:val="22"/>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apple-converted-space">
    <w:name w:val="apple-converted-space"/>
    <w:basedOn w:val="DefaultParagraphFont"/>
    <w:rsid w:val="0061621F"/>
  </w:style>
  <w:style w:type="character" w:customStyle="1" w:styleId="UnresolvedMention2">
    <w:name w:val="Unresolved Mention2"/>
    <w:basedOn w:val="DefaultParagraphFont"/>
    <w:uiPriority w:val="99"/>
    <w:semiHidden/>
    <w:unhideWhenUsed/>
    <w:rsid w:val="007478B8"/>
    <w:rPr>
      <w:color w:val="605E5C"/>
      <w:shd w:val="clear" w:color="auto" w:fill="E1DFDD"/>
    </w:rPr>
  </w:style>
  <w:style w:type="paragraph" w:styleId="BalloonText">
    <w:name w:val="Balloon Text"/>
    <w:basedOn w:val="Normal"/>
    <w:link w:val="BalloonTextChar"/>
    <w:uiPriority w:val="99"/>
    <w:semiHidden/>
    <w:unhideWhenUsed/>
    <w:rsid w:val="00D47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3E"/>
    <w:rPr>
      <w:rFonts w:ascii="Segoe UI" w:hAnsi="Segoe UI" w:cs="Segoe UI"/>
      <w:sz w:val="18"/>
      <w:szCs w:val="18"/>
    </w:rPr>
  </w:style>
  <w:style w:type="paragraph" w:styleId="Header">
    <w:name w:val="header"/>
    <w:basedOn w:val="Normal"/>
    <w:link w:val="HeaderChar"/>
    <w:uiPriority w:val="99"/>
    <w:unhideWhenUsed/>
    <w:rsid w:val="00047E04"/>
    <w:pPr>
      <w:tabs>
        <w:tab w:val="center" w:pos="4680"/>
        <w:tab w:val="right" w:pos="9360"/>
      </w:tabs>
    </w:pPr>
  </w:style>
  <w:style w:type="character" w:customStyle="1" w:styleId="HeaderChar">
    <w:name w:val="Header Char"/>
    <w:basedOn w:val="DefaultParagraphFont"/>
    <w:link w:val="Header"/>
    <w:uiPriority w:val="99"/>
    <w:rsid w:val="00047E04"/>
  </w:style>
  <w:style w:type="paragraph" w:styleId="Footer">
    <w:name w:val="footer"/>
    <w:basedOn w:val="Normal"/>
    <w:link w:val="FooterChar"/>
    <w:uiPriority w:val="99"/>
    <w:unhideWhenUsed/>
    <w:rsid w:val="00047E04"/>
    <w:pPr>
      <w:tabs>
        <w:tab w:val="center" w:pos="4680"/>
        <w:tab w:val="right" w:pos="9360"/>
      </w:tabs>
    </w:pPr>
  </w:style>
  <w:style w:type="character" w:customStyle="1" w:styleId="FooterChar">
    <w:name w:val="Footer Char"/>
    <w:basedOn w:val="DefaultParagraphFont"/>
    <w:link w:val="Footer"/>
    <w:uiPriority w:val="99"/>
    <w:rsid w:val="00047E04"/>
  </w:style>
  <w:style w:type="character" w:styleId="UnresolvedMention">
    <w:name w:val="Unresolved Mention"/>
    <w:basedOn w:val="DefaultParagraphFont"/>
    <w:uiPriority w:val="99"/>
    <w:semiHidden/>
    <w:unhideWhenUsed/>
    <w:rsid w:val="0023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62987">
      <w:bodyDiv w:val="1"/>
      <w:marLeft w:val="0"/>
      <w:marRight w:val="0"/>
      <w:marTop w:val="0"/>
      <w:marBottom w:val="0"/>
      <w:divBdr>
        <w:top w:val="none" w:sz="0" w:space="0" w:color="auto"/>
        <w:left w:val="none" w:sz="0" w:space="0" w:color="auto"/>
        <w:bottom w:val="none" w:sz="0" w:space="0" w:color="auto"/>
        <w:right w:val="none" w:sz="0" w:space="0" w:color="auto"/>
      </w:divBdr>
    </w:div>
    <w:div w:id="1371998816">
      <w:bodyDiv w:val="1"/>
      <w:marLeft w:val="0"/>
      <w:marRight w:val="0"/>
      <w:marTop w:val="0"/>
      <w:marBottom w:val="0"/>
      <w:divBdr>
        <w:top w:val="none" w:sz="0" w:space="0" w:color="auto"/>
        <w:left w:val="none" w:sz="0" w:space="0" w:color="auto"/>
        <w:bottom w:val="none" w:sz="0" w:space="0" w:color="auto"/>
        <w:right w:val="none" w:sz="0" w:space="0" w:color="auto"/>
      </w:divBdr>
    </w:div>
    <w:div w:id="15383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fx.ca/human-rights-equity/policies" TargetMode="External"/><Relationship Id="rId13" Type="http://schemas.openxmlformats.org/officeDocument/2006/relationships/hyperlink" Target="https://www.stfx.ca/student-life-support/accessible-learning" TargetMode="External"/><Relationship Id="rId18" Type="http://schemas.openxmlformats.org/officeDocument/2006/relationships/hyperlink" Target="https://www.stfx.ca/student-services/academic-services/academic-advising" TargetMode="External"/><Relationship Id="rId26" Type="http://schemas.openxmlformats.org/officeDocument/2006/relationships/hyperlink" Target="https://www.stfx.ca/about/theater-antigonish" TargetMode="External"/><Relationship Id="rId3" Type="http://schemas.openxmlformats.org/officeDocument/2006/relationships/settings" Target="settings.xml"/><Relationship Id="rId21" Type="http://schemas.openxmlformats.org/officeDocument/2006/relationships/hyperlink" Target="https://www.stfx.ca/student-life-support/internationalization" TargetMode="External"/><Relationship Id="rId7" Type="http://schemas.openxmlformats.org/officeDocument/2006/relationships/hyperlink" Target="https://www.stfx.ca/applications-admissions/registrars-office/academic-calendar" TargetMode="External"/><Relationship Id="rId12" Type="http://schemas.openxmlformats.org/officeDocument/2006/relationships/hyperlink" Target="https://www.stfx.ca/directory-department/921?groupid=346" TargetMode="External"/><Relationship Id="rId17" Type="http://schemas.openxmlformats.org/officeDocument/2006/relationships/hyperlink" Target="https://www.stfx.ca/student-life-support/health-counselling-centre" TargetMode="External"/><Relationship Id="rId25" Type="http://schemas.openxmlformats.org/officeDocument/2006/relationships/hyperlink" Target="https://www.stfx.ca/art-gallery" TargetMode="External"/><Relationship Id="rId2" Type="http://schemas.openxmlformats.org/officeDocument/2006/relationships/styles" Target="styles.xml"/><Relationship Id="rId16" Type="http://schemas.openxmlformats.org/officeDocument/2006/relationships/hyperlink" Target="https://www.stfx.ca/applications-admissions/registrars-office" TargetMode="External"/><Relationship Id="rId20" Type="http://schemas.openxmlformats.org/officeDocument/2006/relationships/hyperlink" Target="https://www.stfx.ca/student-life-support/student-services/student-career-centr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ssbooks.bccampus.ca/encourageacademicintegrity/" TargetMode="External"/><Relationship Id="rId24" Type="http://schemas.openxmlformats.org/officeDocument/2006/relationships/hyperlink" Target="https://www.stfx.ca/programs-courses/programs/musi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fx.ca/student-life-support/student-services" TargetMode="External"/><Relationship Id="rId23" Type="http://schemas.openxmlformats.org/officeDocument/2006/relationships/hyperlink" Target="https://www.stfx.ca/student-life-support/campus-life/campus-recreation" TargetMode="External"/><Relationship Id="rId28" Type="http://schemas.openxmlformats.org/officeDocument/2006/relationships/hyperlink" Target="https://www.stfx.ca/student-life-support/health-counselling/services" TargetMode="External"/><Relationship Id="rId10" Type="http://schemas.openxmlformats.org/officeDocument/2006/relationships/hyperlink" Target="https://www.stfx.ca/applications-admissions/registrars-office/academic-integrity" TargetMode="External"/><Relationship Id="rId19" Type="http://schemas.openxmlformats.org/officeDocument/2006/relationships/hyperlink" Target="https://www.stfx.ca/student-life-support/student-services/academic-success-centre"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tfx.libguides.com/copyright" TargetMode="External"/><Relationship Id="rId14" Type="http://schemas.openxmlformats.org/officeDocument/2006/relationships/hyperlink" Target="mailto:tramble@stfx.ca" TargetMode="External"/><Relationship Id="rId22" Type="http://schemas.openxmlformats.org/officeDocument/2006/relationships/hyperlink" Target="https://www.stfx.ca/applications-admissions/financial-support/financial-aid-office" TargetMode="External"/><Relationship Id="rId27" Type="http://schemas.openxmlformats.org/officeDocument/2006/relationships/hyperlink" Target="https://www.stfx.ca/human-resources/wellness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0C1DBB2CC64F488D0C1F1889EB68CC"/>
        <w:category>
          <w:name w:val="General"/>
          <w:gallery w:val="placeholder"/>
        </w:category>
        <w:types>
          <w:type w:val="bbPlcHdr"/>
        </w:types>
        <w:behaviors>
          <w:behavior w:val="content"/>
        </w:behaviors>
        <w:guid w:val="{A58E966F-51D7-1840-B1ED-F22982FD37EC}"/>
      </w:docPartPr>
      <w:docPartBody>
        <w:p w:rsidR="0097053D" w:rsidRDefault="001876F9" w:rsidP="001876F9">
          <w:pPr>
            <w:pStyle w:val="5F0C1DBB2CC64F488D0C1F1889EB68CC"/>
          </w:pPr>
          <w:r>
            <w:t>Week 1</w:t>
          </w:r>
        </w:p>
      </w:docPartBody>
    </w:docPart>
    <w:docPart>
      <w:docPartPr>
        <w:name w:val="9FE2BD36AE792A42A3EB02A7851C9D83"/>
        <w:category>
          <w:name w:val="General"/>
          <w:gallery w:val="placeholder"/>
        </w:category>
        <w:types>
          <w:type w:val="bbPlcHdr"/>
        </w:types>
        <w:behaviors>
          <w:behavior w:val="content"/>
        </w:behaviors>
        <w:guid w:val="{22B786A4-38AB-8D49-9935-041D9F1BCE8E}"/>
      </w:docPartPr>
      <w:docPartBody>
        <w:p w:rsidR="0097053D" w:rsidRDefault="001876F9" w:rsidP="001876F9">
          <w:pPr>
            <w:pStyle w:val="9FE2BD36AE792A42A3EB02A7851C9D83"/>
          </w:pPr>
          <w:r>
            <w:t>Week 2</w:t>
          </w:r>
        </w:p>
      </w:docPartBody>
    </w:docPart>
    <w:docPart>
      <w:docPartPr>
        <w:name w:val="BB00EB0578FC8046A6BD5DB7A5F06898"/>
        <w:category>
          <w:name w:val="General"/>
          <w:gallery w:val="placeholder"/>
        </w:category>
        <w:types>
          <w:type w:val="bbPlcHdr"/>
        </w:types>
        <w:behaviors>
          <w:behavior w:val="content"/>
        </w:behaviors>
        <w:guid w:val="{D42DAB9D-47EA-DB47-B06A-C0FFCE8595DA}"/>
      </w:docPartPr>
      <w:docPartBody>
        <w:p w:rsidR="0097053D" w:rsidRDefault="001876F9" w:rsidP="001876F9">
          <w:pPr>
            <w:pStyle w:val="BB00EB0578FC8046A6BD5DB7A5F06898"/>
          </w:pPr>
          <w:r>
            <w:t>Week 3</w:t>
          </w:r>
        </w:p>
      </w:docPartBody>
    </w:docPart>
    <w:docPart>
      <w:docPartPr>
        <w:name w:val="EF0685C3176B05488AC0B5A2E02F5B9C"/>
        <w:category>
          <w:name w:val="General"/>
          <w:gallery w:val="placeholder"/>
        </w:category>
        <w:types>
          <w:type w:val="bbPlcHdr"/>
        </w:types>
        <w:behaviors>
          <w:behavior w:val="content"/>
        </w:behaviors>
        <w:guid w:val="{0EA5C1C6-3E41-4E43-AE9F-F929F9BC47C5}"/>
      </w:docPartPr>
      <w:docPartBody>
        <w:p w:rsidR="0097053D" w:rsidRDefault="001876F9" w:rsidP="001876F9">
          <w:pPr>
            <w:pStyle w:val="EF0685C3176B05488AC0B5A2E02F5B9C"/>
          </w:pPr>
          <w:r>
            <w:t>Week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F9"/>
    <w:rsid w:val="0016597A"/>
    <w:rsid w:val="001876F9"/>
    <w:rsid w:val="004C64EA"/>
    <w:rsid w:val="00894B8B"/>
    <w:rsid w:val="00913F62"/>
    <w:rsid w:val="0097053D"/>
    <w:rsid w:val="00B461A7"/>
    <w:rsid w:val="00B75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unhideWhenUsed/>
    <w:qFormat/>
    <w:rsid w:val="001876F9"/>
    <w:rPr>
      <w:i/>
      <w:iCs/>
    </w:rPr>
  </w:style>
  <w:style w:type="paragraph" w:customStyle="1" w:styleId="5F0C1DBB2CC64F488D0C1F1889EB68CC">
    <w:name w:val="5F0C1DBB2CC64F488D0C1F1889EB68CC"/>
    <w:rsid w:val="001876F9"/>
  </w:style>
  <w:style w:type="paragraph" w:customStyle="1" w:styleId="9FE2BD36AE792A42A3EB02A7851C9D83">
    <w:name w:val="9FE2BD36AE792A42A3EB02A7851C9D83"/>
    <w:rsid w:val="001876F9"/>
  </w:style>
  <w:style w:type="paragraph" w:customStyle="1" w:styleId="BB00EB0578FC8046A6BD5DB7A5F06898">
    <w:name w:val="BB00EB0578FC8046A6BD5DB7A5F06898"/>
    <w:rsid w:val="001876F9"/>
  </w:style>
  <w:style w:type="paragraph" w:customStyle="1" w:styleId="EF0685C3176B05488AC0B5A2E02F5B9C">
    <w:name w:val="EF0685C3176B05488AC0B5A2E02F5B9C"/>
    <w:rsid w:val="00187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Belliveau</dc:creator>
  <cp:keywords/>
  <dc:description/>
  <cp:lastModifiedBy>Sheila MacMillan</cp:lastModifiedBy>
  <cp:revision>5</cp:revision>
  <cp:lastPrinted>2023-08-17T17:04:00Z</cp:lastPrinted>
  <dcterms:created xsi:type="dcterms:W3CDTF">2024-02-08T18:28:00Z</dcterms:created>
  <dcterms:modified xsi:type="dcterms:W3CDTF">2024-07-29T13:13:00Z</dcterms:modified>
</cp:coreProperties>
</file>